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90C" w:rsidRPr="00F31ED6" w:rsidRDefault="005E190C">
      <w:pPr>
        <w:pStyle w:val="Default"/>
        <w:tabs>
          <w:tab w:val="right" w:pos="10080"/>
        </w:tabs>
        <w:suppressAutoHyphens/>
        <w:spacing w:line="280" w:lineRule="exact"/>
        <w:rPr>
          <w:lang w:val="es-ES" w:eastAsia="zh-TW"/>
        </w:rPr>
      </w:pPr>
      <w:r w:rsidRPr="00F31ED6">
        <w:rPr>
          <w:rFonts w:eastAsia="MS Mincho"/>
          <w:bCs/>
          <w:sz w:val="20"/>
          <w:szCs w:val="20"/>
          <w:lang w:val="es-ES" w:eastAsia="ar-SA"/>
        </w:rPr>
        <w:t>Par</w:t>
      </w:r>
      <w:r w:rsidR="00F31ED6" w:rsidRPr="00F31ED6">
        <w:rPr>
          <w:rFonts w:eastAsia="MS Mincho"/>
          <w:bCs/>
          <w:sz w:val="20"/>
          <w:szCs w:val="20"/>
          <w:lang w:val="es-ES" w:eastAsia="ar-SA"/>
        </w:rPr>
        <w:t xml:space="preserve">ís, 20 de </w:t>
      </w:r>
      <w:r w:rsidRPr="00F31ED6">
        <w:rPr>
          <w:rFonts w:eastAsia="MS Mincho"/>
          <w:bCs/>
          <w:sz w:val="20"/>
          <w:szCs w:val="20"/>
          <w:lang w:val="es-ES" w:eastAsia="ar-SA"/>
        </w:rPr>
        <w:t>Nov</w:t>
      </w:r>
      <w:r w:rsidR="00F31ED6" w:rsidRPr="00F31ED6">
        <w:rPr>
          <w:rFonts w:eastAsia="MS Mincho"/>
          <w:bCs/>
          <w:sz w:val="20"/>
          <w:szCs w:val="20"/>
          <w:lang w:val="es-ES" w:eastAsia="ar-SA"/>
        </w:rPr>
        <w:t>ie</w:t>
      </w:r>
      <w:r w:rsidRPr="00F31ED6">
        <w:rPr>
          <w:rFonts w:eastAsia="MS Mincho"/>
          <w:bCs/>
          <w:sz w:val="20"/>
          <w:szCs w:val="20"/>
          <w:lang w:val="es-ES" w:eastAsia="ar-SA"/>
        </w:rPr>
        <w:t>mb</w:t>
      </w:r>
      <w:r w:rsidR="00F31ED6" w:rsidRPr="00F31ED6">
        <w:rPr>
          <w:rFonts w:eastAsia="MS Mincho"/>
          <w:bCs/>
          <w:sz w:val="20"/>
          <w:szCs w:val="20"/>
          <w:lang w:val="es-ES" w:eastAsia="ar-SA"/>
        </w:rPr>
        <w:t>re de</w:t>
      </w:r>
      <w:r w:rsidRPr="00F31ED6">
        <w:rPr>
          <w:rFonts w:eastAsia="MS Mincho"/>
          <w:bCs/>
          <w:sz w:val="20"/>
          <w:szCs w:val="20"/>
          <w:lang w:val="es-ES" w:eastAsia="ar-SA"/>
        </w:rPr>
        <w:t xml:space="preserve"> 2014</w:t>
      </w:r>
    </w:p>
    <w:p w:rsidR="003D0969" w:rsidRPr="00F31ED6" w:rsidRDefault="003D0969" w:rsidP="003D0969">
      <w:pPr>
        <w:suppressAutoHyphens/>
        <w:spacing w:line="300" w:lineRule="exact"/>
        <w:jc w:val="both"/>
        <w:rPr>
          <w:rFonts w:ascii="Arial" w:hAnsi="Arial" w:cs="Arial"/>
          <w:b/>
          <w:bCs/>
          <w:color w:val="000000"/>
          <w:sz w:val="26"/>
          <w:szCs w:val="26"/>
          <w:lang w:val="es-ES"/>
        </w:rPr>
      </w:pPr>
    </w:p>
    <w:p w:rsidR="003D0969" w:rsidRPr="00F31ED6" w:rsidRDefault="00F31ED6" w:rsidP="003D0969">
      <w:pPr>
        <w:suppressAutoHyphens/>
        <w:spacing w:line="300" w:lineRule="exact"/>
        <w:jc w:val="center"/>
        <w:outlineLvl w:val="0"/>
        <w:rPr>
          <w:rFonts w:ascii="Arial" w:hAnsi="Arial"/>
          <w:b/>
          <w:color w:val="000000"/>
          <w:lang w:val="es-ES"/>
        </w:rPr>
      </w:pPr>
      <w:r w:rsidRPr="00F31ED6">
        <w:rPr>
          <w:rFonts w:ascii="Arial" w:hAnsi="Arial"/>
          <w:b/>
          <w:color w:val="000000"/>
          <w:lang w:val="es-ES"/>
        </w:rPr>
        <w:t xml:space="preserve">Evaluaciones trimestrales de riesgos sectoriales de </w:t>
      </w:r>
      <w:r w:rsidR="00795947" w:rsidRPr="00F31ED6">
        <w:rPr>
          <w:rFonts w:ascii="Arial" w:hAnsi="Arial"/>
          <w:b/>
          <w:color w:val="000000"/>
          <w:lang w:val="es-ES"/>
        </w:rPr>
        <w:t>Coface</w:t>
      </w:r>
    </w:p>
    <w:p w:rsidR="003D0969" w:rsidRPr="00934478" w:rsidRDefault="003D0969" w:rsidP="00B02E8D">
      <w:pPr>
        <w:suppressAutoHyphens/>
        <w:spacing w:line="300" w:lineRule="exact"/>
        <w:jc w:val="center"/>
        <w:outlineLvl w:val="0"/>
        <w:rPr>
          <w:rFonts w:ascii="Arial" w:hAnsi="Arial"/>
          <w:b/>
          <w:color w:val="000000"/>
          <w:lang w:val="es-ES"/>
        </w:rPr>
      </w:pPr>
      <w:r w:rsidRPr="00934478">
        <w:rPr>
          <w:rFonts w:ascii="Arial" w:hAnsi="Arial"/>
          <w:b/>
          <w:color w:val="000000"/>
          <w:lang w:val="es-ES"/>
        </w:rPr>
        <w:t>14 sector</w:t>
      </w:r>
      <w:r w:rsidR="00F31ED6" w:rsidRPr="00934478">
        <w:rPr>
          <w:rFonts w:ascii="Arial" w:hAnsi="Arial"/>
          <w:b/>
          <w:color w:val="000000"/>
          <w:lang w:val="es-ES"/>
        </w:rPr>
        <w:t>e</w:t>
      </w:r>
      <w:r w:rsidRPr="00934478">
        <w:rPr>
          <w:rFonts w:ascii="Arial" w:hAnsi="Arial"/>
          <w:b/>
          <w:color w:val="000000"/>
          <w:lang w:val="es-ES"/>
        </w:rPr>
        <w:t xml:space="preserve">s </w:t>
      </w:r>
      <w:r w:rsidR="00F31ED6" w:rsidRPr="00934478">
        <w:rPr>
          <w:rFonts w:ascii="Arial" w:hAnsi="Arial"/>
          <w:b/>
          <w:color w:val="000000"/>
          <w:lang w:val="es-ES"/>
        </w:rPr>
        <w:t>en las</w:t>
      </w:r>
      <w:r w:rsidR="001418AE">
        <w:rPr>
          <w:rFonts w:ascii="Arial" w:hAnsi="Arial"/>
          <w:b/>
          <w:color w:val="000000"/>
          <w:lang w:val="es-ES"/>
        </w:rPr>
        <w:t xml:space="preserve"> </w:t>
      </w:r>
      <w:r w:rsidR="00F31ED6" w:rsidRPr="00934478">
        <w:rPr>
          <w:rFonts w:ascii="Arial" w:hAnsi="Arial"/>
          <w:b/>
          <w:color w:val="000000"/>
          <w:lang w:val="es-ES"/>
        </w:rPr>
        <w:t>tres mayor</w:t>
      </w:r>
      <w:r w:rsidR="001418AE">
        <w:rPr>
          <w:rFonts w:ascii="Arial" w:hAnsi="Arial"/>
          <w:b/>
          <w:color w:val="000000"/>
          <w:lang w:val="es-ES"/>
        </w:rPr>
        <w:t>e</w:t>
      </w:r>
      <w:r w:rsidR="00F31ED6" w:rsidRPr="00934478">
        <w:rPr>
          <w:rFonts w:ascii="Arial" w:hAnsi="Arial"/>
          <w:b/>
          <w:color w:val="000000"/>
          <w:lang w:val="es-ES"/>
        </w:rPr>
        <w:t>s region</w:t>
      </w:r>
      <w:r w:rsidR="001418AE">
        <w:rPr>
          <w:rFonts w:ascii="Arial" w:hAnsi="Arial"/>
          <w:b/>
          <w:color w:val="000000"/>
          <w:lang w:val="es-ES"/>
        </w:rPr>
        <w:t>e</w:t>
      </w:r>
      <w:r w:rsidR="00F31ED6" w:rsidRPr="00934478">
        <w:rPr>
          <w:rFonts w:ascii="Arial" w:hAnsi="Arial"/>
          <w:b/>
          <w:color w:val="000000"/>
          <w:lang w:val="es-ES"/>
        </w:rPr>
        <w:t>s del mundo</w:t>
      </w:r>
    </w:p>
    <w:p w:rsidR="005E190C" w:rsidRPr="00934478" w:rsidRDefault="005E190C" w:rsidP="003D0969">
      <w:pPr>
        <w:tabs>
          <w:tab w:val="left" w:pos="3675"/>
        </w:tabs>
        <w:suppressAutoHyphens/>
        <w:spacing w:line="300" w:lineRule="exact"/>
        <w:outlineLvl w:val="0"/>
        <w:rPr>
          <w:rFonts w:ascii="Arial" w:hAnsi="Arial" w:cs="Arial"/>
          <w:b/>
          <w:bCs/>
          <w:color w:val="000000"/>
          <w:lang w:val="es-ES"/>
        </w:rPr>
      </w:pPr>
    </w:p>
    <w:p w:rsidR="005E190C" w:rsidRPr="00F31ED6" w:rsidRDefault="005E190C" w:rsidP="00B02E8D">
      <w:pPr>
        <w:suppressAutoHyphens/>
        <w:spacing w:line="280" w:lineRule="exact"/>
        <w:jc w:val="both"/>
        <w:rPr>
          <w:rFonts w:ascii="Arial" w:hAnsi="Arial" w:cs="Arial"/>
          <w:b/>
          <w:bCs/>
          <w:color w:val="000000"/>
          <w:sz w:val="26"/>
          <w:szCs w:val="26"/>
          <w:lang w:val="es-ES" w:eastAsia="fr-FR"/>
        </w:rPr>
      </w:pPr>
      <w:r w:rsidRPr="00F31ED6">
        <w:rPr>
          <w:rFonts w:ascii="Arial" w:hAnsi="Arial" w:cs="Arial"/>
          <w:b/>
          <w:bCs/>
          <w:color w:val="000000"/>
          <w:sz w:val="26"/>
          <w:szCs w:val="26"/>
          <w:lang w:val="es-ES" w:eastAsia="fr-FR"/>
        </w:rPr>
        <w:t>Nort</w:t>
      </w:r>
      <w:r w:rsidR="00F31ED6" w:rsidRPr="00F31ED6">
        <w:rPr>
          <w:rFonts w:ascii="Arial" w:hAnsi="Arial" w:cs="Arial"/>
          <w:b/>
          <w:bCs/>
          <w:color w:val="000000"/>
          <w:sz w:val="26"/>
          <w:szCs w:val="26"/>
          <w:lang w:val="es-ES" w:eastAsia="fr-FR"/>
        </w:rPr>
        <w:t>e</w:t>
      </w:r>
      <w:r w:rsidRPr="00F31ED6">
        <w:rPr>
          <w:rFonts w:ascii="Arial" w:hAnsi="Arial" w:cs="Arial"/>
          <w:b/>
          <w:bCs/>
          <w:color w:val="000000"/>
          <w:sz w:val="26"/>
          <w:szCs w:val="26"/>
          <w:lang w:val="es-ES" w:eastAsia="fr-FR"/>
        </w:rPr>
        <w:t xml:space="preserve"> </w:t>
      </w:r>
      <w:r w:rsidR="00F31ED6" w:rsidRPr="00F31ED6">
        <w:rPr>
          <w:rFonts w:ascii="Arial" w:hAnsi="Arial" w:cs="Arial"/>
          <w:b/>
          <w:bCs/>
          <w:color w:val="000000"/>
          <w:sz w:val="26"/>
          <w:szCs w:val="26"/>
          <w:lang w:val="es-ES" w:eastAsia="fr-FR"/>
        </w:rPr>
        <w:t>América</w:t>
      </w:r>
      <w:r w:rsidR="00F31ED6">
        <w:rPr>
          <w:rFonts w:ascii="Arial" w:hAnsi="Arial" w:cs="Arial"/>
          <w:b/>
          <w:bCs/>
          <w:color w:val="000000"/>
          <w:sz w:val="26"/>
          <w:szCs w:val="26"/>
          <w:lang w:val="es-ES" w:eastAsia="fr-FR"/>
        </w:rPr>
        <w:t>,</w:t>
      </w:r>
      <w:r w:rsidRPr="00F31ED6">
        <w:rPr>
          <w:rFonts w:ascii="Arial" w:hAnsi="Arial" w:cs="Arial"/>
          <w:b/>
          <w:bCs/>
          <w:color w:val="000000"/>
          <w:sz w:val="26"/>
          <w:szCs w:val="26"/>
          <w:lang w:val="es-ES" w:eastAsia="fr-FR"/>
        </w:rPr>
        <w:t xml:space="preserve"> </w:t>
      </w:r>
      <w:r w:rsidR="00F31ED6" w:rsidRPr="00F31ED6">
        <w:rPr>
          <w:rFonts w:ascii="Arial" w:hAnsi="Arial" w:cs="Arial"/>
          <w:b/>
          <w:bCs/>
          <w:color w:val="000000"/>
          <w:sz w:val="26"/>
          <w:szCs w:val="26"/>
          <w:lang w:val="es-ES" w:eastAsia="fr-FR"/>
        </w:rPr>
        <w:t>químico, transporte, textiles y vestimenta han sido elevados de “riesgo medio” a “riesgo</w:t>
      </w:r>
      <w:r w:rsidR="001418AE">
        <w:rPr>
          <w:rFonts w:ascii="Arial" w:hAnsi="Arial" w:cs="Arial"/>
          <w:b/>
          <w:bCs/>
          <w:color w:val="000000"/>
          <w:sz w:val="26"/>
          <w:szCs w:val="26"/>
          <w:lang w:val="es-ES" w:eastAsia="fr-FR"/>
        </w:rPr>
        <w:t xml:space="preserve"> bajo</w:t>
      </w:r>
      <w:r w:rsidR="00F31ED6" w:rsidRPr="00F31ED6">
        <w:rPr>
          <w:rFonts w:ascii="Arial" w:hAnsi="Arial" w:cs="Arial"/>
          <w:b/>
          <w:bCs/>
          <w:color w:val="000000"/>
          <w:sz w:val="26"/>
          <w:szCs w:val="26"/>
          <w:lang w:val="es-ES" w:eastAsia="fr-FR"/>
        </w:rPr>
        <w:t>”</w:t>
      </w:r>
    </w:p>
    <w:p w:rsidR="005E190C" w:rsidRPr="00F31ED6" w:rsidRDefault="005E190C">
      <w:pPr>
        <w:suppressAutoHyphens/>
        <w:spacing w:line="270" w:lineRule="exact"/>
        <w:jc w:val="both"/>
        <w:rPr>
          <w:rFonts w:ascii="Arial" w:hAnsi="Arial" w:cs="Arial"/>
          <w:b/>
          <w:sz w:val="22"/>
          <w:szCs w:val="22"/>
          <w:lang w:val="es-ES"/>
        </w:rPr>
      </w:pPr>
    </w:p>
    <w:p w:rsidR="00F31ED6" w:rsidRDefault="00F31ED6">
      <w:pPr>
        <w:suppressAutoHyphens/>
        <w:spacing w:line="280" w:lineRule="exact"/>
        <w:jc w:val="both"/>
        <w:rPr>
          <w:rFonts w:ascii="Arial" w:hAnsi="Arial" w:cs="Arial"/>
          <w:b/>
          <w:sz w:val="22"/>
          <w:szCs w:val="22"/>
          <w:lang w:val="es-ES"/>
        </w:rPr>
      </w:pPr>
      <w:r w:rsidRPr="00F31ED6">
        <w:rPr>
          <w:rFonts w:ascii="Arial" w:hAnsi="Arial" w:cs="Arial"/>
          <w:b/>
          <w:sz w:val="22"/>
          <w:szCs w:val="22"/>
          <w:lang w:val="es-ES"/>
        </w:rPr>
        <w:t>En Norte América el riesgo sector ha mejorado debido a la perspectiva econ</w:t>
      </w:r>
      <w:r>
        <w:rPr>
          <w:rFonts w:ascii="Arial" w:hAnsi="Arial" w:cs="Arial"/>
          <w:b/>
          <w:sz w:val="22"/>
          <w:szCs w:val="22"/>
          <w:lang w:val="es-ES"/>
        </w:rPr>
        <w:t xml:space="preserve">ómica positiva y </w:t>
      </w:r>
      <w:r w:rsidR="003A4DB7">
        <w:rPr>
          <w:rFonts w:ascii="Arial" w:hAnsi="Arial" w:cs="Arial"/>
          <w:b/>
          <w:sz w:val="22"/>
          <w:szCs w:val="22"/>
          <w:lang w:val="es-ES"/>
        </w:rPr>
        <w:t xml:space="preserve">a </w:t>
      </w:r>
      <w:r>
        <w:rPr>
          <w:rFonts w:ascii="Arial" w:hAnsi="Arial" w:cs="Arial"/>
          <w:b/>
          <w:sz w:val="22"/>
          <w:szCs w:val="22"/>
          <w:lang w:val="es-ES"/>
        </w:rPr>
        <w:t>la caída en los precios de petróleo</w:t>
      </w:r>
    </w:p>
    <w:p w:rsidR="005E190C" w:rsidRPr="00F31ED6" w:rsidRDefault="005E190C">
      <w:pPr>
        <w:pStyle w:val="ListParagraph"/>
        <w:suppressAutoHyphens/>
        <w:spacing w:line="270" w:lineRule="exact"/>
        <w:rPr>
          <w:rFonts w:ascii="Arial" w:hAnsi="Arial" w:cs="Arial"/>
          <w:b/>
          <w:sz w:val="20"/>
          <w:szCs w:val="20"/>
          <w:lang w:val="es-ES"/>
        </w:rPr>
      </w:pPr>
    </w:p>
    <w:p w:rsidR="005E190C" w:rsidRPr="00F31ED6" w:rsidRDefault="00F31ED6">
      <w:pPr>
        <w:suppressAutoHyphens/>
        <w:spacing w:line="280" w:lineRule="exact"/>
        <w:jc w:val="both"/>
        <w:rPr>
          <w:rFonts w:ascii="Arial" w:hAnsi="Arial" w:cs="Arial"/>
          <w:sz w:val="20"/>
          <w:szCs w:val="20"/>
          <w:lang w:val="es-ES"/>
        </w:rPr>
      </w:pPr>
      <w:r w:rsidRPr="00F31ED6">
        <w:rPr>
          <w:rFonts w:ascii="Arial" w:hAnsi="Arial" w:cs="Arial"/>
          <w:sz w:val="20"/>
          <w:szCs w:val="20"/>
          <w:lang w:val="es-ES"/>
        </w:rPr>
        <w:t>Para Coface este final de año muestra una clara mejora en los riesgos sectoriales en Norte Am</w:t>
      </w:r>
      <w:r>
        <w:rPr>
          <w:rFonts w:ascii="Arial" w:hAnsi="Arial" w:cs="Arial"/>
          <w:sz w:val="20"/>
          <w:szCs w:val="20"/>
          <w:lang w:val="es-ES"/>
        </w:rPr>
        <w:t>érica</w:t>
      </w:r>
      <w:r w:rsidR="005E190C" w:rsidRPr="00F31ED6">
        <w:rPr>
          <w:rFonts w:ascii="Arial" w:hAnsi="Arial" w:cs="Arial"/>
          <w:sz w:val="20"/>
          <w:szCs w:val="20"/>
          <w:lang w:val="es-ES"/>
        </w:rPr>
        <w:t>.</w:t>
      </w:r>
      <w:r>
        <w:rPr>
          <w:rFonts w:ascii="Arial" w:hAnsi="Arial" w:cs="Arial"/>
          <w:sz w:val="20"/>
          <w:szCs w:val="20"/>
          <w:lang w:val="es-ES"/>
        </w:rPr>
        <w:t xml:space="preserve">  </w:t>
      </w:r>
      <w:r w:rsidRPr="00F31ED6">
        <w:rPr>
          <w:rFonts w:ascii="Arial" w:hAnsi="Arial" w:cs="Arial"/>
          <w:sz w:val="20"/>
          <w:szCs w:val="20"/>
          <w:lang w:val="es-ES"/>
        </w:rPr>
        <w:t>Después de un pequeño descenso por las pobres condiciones climáticas en el primer trimestre</w:t>
      </w:r>
      <w:r w:rsidR="003A4DB7">
        <w:rPr>
          <w:rFonts w:ascii="Arial" w:hAnsi="Arial" w:cs="Arial"/>
          <w:sz w:val="20"/>
          <w:szCs w:val="20"/>
          <w:lang w:val="es-ES"/>
        </w:rPr>
        <w:t xml:space="preserve">, </w:t>
      </w:r>
      <w:r w:rsidRPr="00F31ED6">
        <w:rPr>
          <w:rFonts w:ascii="Arial" w:hAnsi="Arial" w:cs="Arial"/>
          <w:sz w:val="20"/>
          <w:szCs w:val="20"/>
          <w:lang w:val="es-ES"/>
        </w:rPr>
        <w:t>Estados Unidos</w:t>
      </w:r>
      <w:r w:rsidR="005E190C" w:rsidRPr="00F31ED6">
        <w:rPr>
          <w:rFonts w:ascii="Arial" w:hAnsi="Arial" w:cs="Arial"/>
          <w:sz w:val="20"/>
          <w:szCs w:val="20"/>
          <w:lang w:val="es-ES"/>
        </w:rPr>
        <w:t xml:space="preserve"> </w:t>
      </w:r>
      <w:r w:rsidRPr="00F31ED6">
        <w:rPr>
          <w:rFonts w:ascii="Arial" w:hAnsi="Arial" w:cs="Arial"/>
          <w:sz w:val="20"/>
          <w:szCs w:val="20"/>
          <w:lang w:val="es-ES"/>
        </w:rPr>
        <w:t>ha retomado su s</w:t>
      </w:r>
      <w:r>
        <w:rPr>
          <w:rFonts w:ascii="Arial" w:hAnsi="Arial" w:cs="Arial"/>
          <w:sz w:val="20"/>
          <w:szCs w:val="20"/>
          <w:lang w:val="es-ES"/>
        </w:rPr>
        <w:t>ólido y balanceado crecimiento</w:t>
      </w:r>
      <w:r w:rsidR="005E190C" w:rsidRPr="00F31ED6">
        <w:rPr>
          <w:rFonts w:ascii="Arial" w:hAnsi="Arial" w:cs="Arial"/>
          <w:sz w:val="20"/>
          <w:szCs w:val="20"/>
          <w:lang w:val="es-ES"/>
        </w:rPr>
        <w:t xml:space="preserve"> (</w:t>
      </w:r>
      <w:r>
        <w:rPr>
          <w:rFonts w:ascii="Arial" w:hAnsi="Arial" w:cs="Arial"/>
          <w:sz w:val="20"/>
          <w:szCs w:val="20"/>
          <w:lang w:val="es-ES"/>
        </w:rPr>
        <w:t xml:space="preserve">previsión de </w:t>
      </w:r>
      <w:r w:rsidR="005E190C" w:rsidRPr="00F31ED6">
        <w:rPr>
          <w:rFonts w:ascii="Arial" w:hAnsi="Arial" w:cs="Arial"/>
          <w:sz w:val="20"/>
          <w:szCs w:val="20"/>
          <w:lang w:val="es-ES"/>
        </w:rPr>
        <w:t xml:space="preserve">2.0% </w:t>
      </w:r>
      <w:r>
        <w:rPr>
          <w:rFonts w:ascii="Arial" w:hAnsi="Arial" w:cs="Arial"/>
          <w:sz w:val="20"/>
          <w:szCs w:val="20"/>
          <w:lang w:val="es-ES"/>
        </w:rPr>
        <w:t>e</w:t>
      </w:r>
      <w:r w:rsidR="005E190C" w:rsidRPr="00F31ED6">
        <w:rPr>
          <w:rFonts w:ascii="Arial" w:hAnsi="Arial" w:cs="Arial"/>
          <w:sz w:val="20"/>
          <w:szCs w:val="20"/>
          <w:lang w:val="es-ES"/>
        </w:rPr>
        <w:t xml:space="preserve">n 2014 </w:t>
      </w:r>
      <w:r>
        <w:rPr>
          <w:rFonts w:ascii="Arial" w:hAnsi="Arial" w:cs="Arial"/>
          <w:sz w:val="20"/>
          <w:szCs w:val="20"/>
          <w:lang w:val="es-ES"/>
        </w:rPr>
        <w:t>y</w:t>
      </w:r>
      <w:r w:rsidR="005E190C" w:rsidRPr="00F31ED6">
        <w:rPr>
          <w:rFonts w:ascii="Arial" w:hAnsi="Arial" w:cs="Arial"/>
          <w:sz w:val="20"/>
          <w:szCs w:val="20"/>
          <w:lang w:val="es-ES"/>
        </w:rPr>
        <w:t xml:space="preserve"> 2.5% </w:t>
      </w:r>
      <w:r>
        <w:rPr>
          <w:rFonts w:ascii="Arial" w:hAnsi="Arial" w:cs="Arial"/>
          <w:sz w:val="20"/>
          <w:szCs w:val="20"/>
          <w:lang w:val="es-ES"/>
        </w:rPr>
        <w:t>e</w:t>
      </w:r>
      <w:r w:rsidR="005E190C" w:rsidRPr="00F31ED6">
        <w:rPr>
          <w:rFonts w:ascii="Arial" w:hAnsi="Arial" w:cs="Arial"/>
          <w:sz w:val="20"/>
          <w:szCs w:val="20"/>
          <w:lang w:val="es-ES"/>
        </w:rPr>
        <w:t xml:space="preserve">n 2015). </w:t>
      </w:r>
      <w:r>
        <w:rPr>
          <w:rFonts w:ascii="Arial" w:hAnsi="Arial" w:cs="Arial"/>
          <w:sz w:val="20"/>
          <w:szCs w:val="20"/>
          <w:lang w:val="es-ES"/>
        </w:rPr>
        <w:t xml:space="preserve"> </w:t>
      </w:r>
      <w:r w:rsidRPr="00F31ED6">
        <w:rPr>
          <w:rFonts w:ascii="Arial" w:hAnsi="Arial" w:cs="Arial"/>
          <w:sz w:val="20"/>
          <w:szCs w:val="20"/>
          <w:lang w:val="es-ES"/>
        </w:rPr>
        <w:t>Las compañías han tomado ventaja de este momento favorable en el consum</w:t>
      </w:r>
      <w:r w:rsidR="003A4DB7">
        <w:rPr>
          <w:rFonts w:ascii="Arial" w:hAnsi="Arial" w:cs="Arial"/>
          <w:sz w:val="20"/>
          <w:szCs w:val="20"/>
          <w:lang w:val="es-ES"/>
        </w:rPr>
        <w:t>o</w:t>
      </w:r>
      <w:r w:rsidRPr="00F31ED6">
        <w:rPr>
          <w:rFonts w:ascii="Arial" w:hAnsi="Arial" w:cs="Arial"/>
          <w:sz w:val="20"/>
          <w:szCs w:val="20"/>
          <w:lang w:val="es-ES"/>
        </w:rPr>
        <w:t xml:space="preserve"> y la inversión, como se ha mostrado en el alto nivel de </w:t>
      </w:r>
      <w:r>
        <w:rPr>
          <w:rFonts w:ascii="Arial" w:hAnsi="Arial" w:cs="Arial"/>
          <w:sz w:val="20"/>
          <w:szCs w:val="20"/>
          <w:lang w:val="es-ES"/>
        </w:rPr>
        <w:t xml:space="preserve">ganancias.  </w:t>
      </w:r>
      <w:r w:rsidRPr="00F31ED6">
        <w:rPr>
          <w:rFonts w:ascii="Arial" w:hAnsi="Arial" w:cs="Arial"/>
          <w:sz w:val="20"/>
          <w:szCs w:val="20"/>
          <w:lang w:val="es-ES"/>
        </w:rPr>
        <w:t>Este clima económico favorable aunado con la reciente caída de los precios de petróleo, ha beneficiado especialmente tres sectores, los cuales han sido elevado</w:t>
      </w:r>
      <w:r w:rsidR="0000398A">
        <w:rPr>
          <w:rFonts w:ascii="Arial" w:hAnsi="Arial" w:cs="Arial"/>
          <w:sz w:val="20"/>
          <w:szCs w:val="20"/>
          <w:lang w:val="es-ES"/>
        </w:rPr>
        <w:t>s</w:t>
      </w:r>
      <w:r w:rsidRPr="00F31ED6">
        <w:rPr>
          <w:rFonts w:ascii="Arial" w:hAnsi="Arial" w:cs="Arial"/>
          <w:sz w:val="20"/>
          <w:szCs w:val="20"/>
          <w:lang w:val="es-ES"/>
        </w:rPr>
        <w:t xml:space="preserve"> a “</w:t>
      </w:r>
      <w:r>
        <w:rPr>
          <w:rFonts w:ascii="Arial" w:hAnsi="Arial" w:cs="Arial"/>
          <w:sz w:val="20"/>
          <w:szCs w:val="20"/>
          <w:lang w:val="es-ES"/>
        </w:rPr>
        <w:t>riesgo</w:t>
      </w:r>
      <w:r w:rsidR="0000398A">
        <w:rPr>
          <w:rFonts w:ascii="Arial" w:hAnsi="Arial" w:cs="Arial"/>
          <w:sz w:val="20"/>
          <w:szCs w:val="20"/>
          <w:lang w:val="es-ES"/>
        </w:rPr>
        <w:t xml:space="preserve"> bajo</w:t>
      </w:r>
      <w:r>
        <w:rPr>
          <w:rFonts w:ascii="Arial" w:hAnsi="Arial" w:cs="Arial"/>
          <w:sz w:val="20"/>
          <w:szCs w:val="20"/>
          <w:lang w:val="es-ES"/>
        </w:rPr>
        <w:t>”</w:t>
      </w:r>
      <w:r w:rsidR="005E190C" w:rsidRPr="00F31ED6">
        <w:rPr>
          <w:rFonts w:ascii="Arial" w:hAnsi="Arial" w:cs="Arial"/>
          <w:sz w:val="20"/>
          <w:szCs w:val="20"/>
          <w:lang w:val="es-ES"/>
        </w:rPr>
        <w:t>.</w:t>
      </w:r>
    </w:p>
    <w:p w:rsidR="005E190C" w:rsidRPr="00F31ED6" w:rsidRDefault="005E190C">
      <w:pPr>
        <w:suppressAutoHyphens/>
        <w:spacing w:line="270" w:lineRule="exact"/>
        <w:jc w:val="both"/>
        <w:rPr>
          <w:rStyle w:val="nfasis"/>
          <w:rFonts w:ascii="Arial" w:hAnsi="Arial" w:cs="Arial"/>
          <w:b/>
          <w:bCs/>
          <w:i w:val="0"/>
          <w:iCs/>
          <w:color w:val="000000"/>
          <w:sz w:val="20"/>
          <w:szCs w:val="20"/>
          <w:lang w:val="es-ES" w:eastAsia="zh-TW"/>
        </w:rPr>
      </w:pPr>
    </w:p>
    <w:p w:rsidR="005E190C" w:rsidRPr="00934478" w:rsidRDefault="00F31ED6">
      <w:pPr>
        <w:pStyle w:val="ListParagraph"/>
        <w:numPr>
          <w:ilvl w:val="0"/>
          <w:numId w:val="11"/>
        </w:numPr>
        <w:suppressAutoHyphens/>
        <w:spacing w:line="280" w:lineRule="exact"/>
        <w:jc w:val="both"/>
        <w:rPr>
          <w:rFonts w:ascii="Arial" w:hAnsi="Arial" w:cs="Arial"/>
          <w:b/>
          <w:sz w:val="20"/>
          <w:szCs w:val="20"/>
          <w:lang w:val="es-MX"/>
        </w:rPr>
      </w:pPr>
      <w:r w:rsidRPr="00934478">
        <w:rPr>
          <w:rFonts w:ascii="Arial" w:hAnsi="Arial" w:cs="Arial"/>
          <w:b/>
          <w:sz w:val="20"/>
          <w:szCs w:val="20"/>
          <w:lang w:val="es-MX"/>
        </w:rPr>
        <w:t>Químico</w:t>
      </w:r>
    </w:p>
    <w:p w:rsidR="005E190C" w:rsidRDefault="005E190C">
      <w:pPr>
        <w:pStyle w:val="ListParagraph"/>
        <w:suppressAutoHyphens/>
        <w:spacing w:line="270" w:lineRule="exact"/>
        <w:jc w:val="both"/>
        <w:rPr>
          <w:rFonts w:ascii="Arial" w:hAnsi="Arial" w:cs="Arial"/>
          <w:b/>
          <w:sz w:val="20"/>
          <w:szCs w:val="20"/>
        </w:rPr>
      </w:pPr>
    </w:p>
    <w:p w:rsidR="005E190C" w:rsidRPr="005F4D8B" w:rsidRDefault="00F31ED6" w:rsidP="00B02E8D">
      <w:pPr>
        <w:widowControl/>
        <w:suppressAutoHyphens/>
        <w:autoSpaceDE w:val="0"/>
        <w:autoSpaceDN w:val="0"/>
        <w:adjustRightInd w:val="0"/>
        <w:spacing w:line="280" w:lineRule="exact"/>
        <w:ind w:left="360"/>
        <w:jc w:val="both"/>
        <w:rPr>
          <w:rFonts w:ascii="Arial" w:hAnsi="Arial" w:cs="Arial"/>
          <w:sz w:val="20"/>
          <w:szCs w:val="20"/>
          <w:lang w:val="es-MX"/>
        </w:rPr>
      </w:pPr>
      <w:r w:rsidRPr="005F4D8B">
        <w:rPr>
          <w:rFonts w:ascii="Arial" w:hAnsi="Arial" w:cs="Arial"/>
          <w:sz w:val="20"/>
          <w:szCs w:val="20"/>
          <w:lang w:val="es-MX"/>
        </w:rPr>
        <w:t xml:space="preserve">El sector químico en Norte América permanece favorable comparado con Europa Occidental (el cual ha confrontado una recuperación </w:t>
      </w:r>
      <w:r w:rsidR="00F54377" w:rsidRPr="005F4D8B">
        <w:rPr>
          <w:rFonts w:ascii="Arial" w:hAnsi="Arial" w:cs="Arial"/>
          <w:sz w:val="20"/>
          <w:szCs w:val="20"/>
          <w:lang w:val="es-MX"/>
        </w:rPr>
        <w:t>muy lenta) y en la Asia emergente</w:t>
      </w:r>
      <w:r w:rsidR="00B02E8D" w:rsidRPr="005F4D8B">
        <w:rPr>
          <w:rFonts w:ascii="Arial" w:hAnsi="Arial" w:cs="Arial"/>
          <w:sz w:val="20"/>
          <w:szCs w:val="20"/>
          <w:lang w:val="es-MX"/>
        </w:rPr>
        <w:t xml:space="preserve"> (</w:t>
      </w:r>
      <w:r w:rsidR="00F54377" w:rsidRPr="005F4D8B">
        <w:rPr>
          <w:rFonts w:ascii="Arial" w:hAnsi="Arial" w:cs="Arial"/>
          <w:sz w:val="20"/>
          <w:szCs w:val="20"/>
          <w:lang w:val="es-MX"/>
        </w:rPr>
        <w:t>donde la previsión del sector aún permanece frágil</w:t>
      </w:r>
      <w:r w:rsidR="00B02E8D" w:rsidRPr="005F4D8B">
        <w:rPr>
          <w:rFonts w:ascii="Arial" w:hAnsi="Arial" w:cs="Arial"/>
          <w:sz w:val="20"/>
          <w:szCs w:val="20"/>
          <w:lang w:val="es-MX"/>
        </w:rPr>
        <w:t>)</w:t>
      </w:r>
      <w:r w:rsidR="005E190C" w:rsidRPr="005F4D8B">
        <w:rPr>
          <w:rFonts w:ascii="Arial" w:hAnsi="Arial" w:cs="Arial"/>
          <w:sz w:val="20"/>
          <w:szCs w:val="20"/>
          <w:lang w:val="es-MX"/>
        </w:rPr>
        <w:t>.</w:t>
      </w:r>
      <w:r w:rsidR="00F54377" w:rsidRPr="005F4D8B">
        <w:rPr>
          <w:rFonts w:ascii="Arial" w:hAnsi="Arial" w:cs="Arial"/>
          <w:sz w:val="20"/>
          <w:szCs w:val="20"/>
          <w:lang w:val="es-MX"/>
        </w:rPr>
        <w:t xml:space="preserve">  Como una </w:t>
      </w:r>
      <w:r w:rsidR="005F4D8B" w:rsidRPr="005F4D8B">
        <w:rPr>
          <w:rFonts w:ascii="Arial" w:hAnsi="Arial" w:cs="Arial"/>
          <w:sz w:val="20"/>
          <w:szCs w:val="20"/>
          <w:lang w:val="es-MX"/>
        </w:rPr>
        <w:t>región</w:t>
      </w:r>
      <w:r w:rsidR="00F54377" w:rsidRPr="005F4D8B">
        <w:rPr>
          <w:rFonts w:ascii="Arial" w:hAnsi="Arial" w:cs="Arial"/>
          <w:sz w:val="20"/>
          <w:szCs w:val="20"/>
          <w:lang w:val="es-MX"/>
        </w:rPr>
        <w:t xml:space="preserve"> favorecida por el número de jugadores en el sector, Norte América ha hecho los mejores beneficios en competitividad resultado de los bajos costos de producción</w:t>
      </w:r>
      <w:r w:rsidR="005E190C" w:rsidRPr="005F4D8B">
        <w:rPr>
          <w:rFonts w:ascii="Arial" w:hAnsi="Arial" w:cs="Arial"/>
          <w:sz w:val="20"/>
          <w:szCs w:val="20"/>
          <w:lang w:val="es-MX"/>
        </w:rPr>
        <w:t>.</w:t>
      </w:r>
    </w:p>
    <w:p w:rsidR="0059487E" w:rsidRDefault="0059487E" w:rsidP="00B02E8D">
      <w:pPr>
        <w:widowControl/>
        <w:suppressAutoHyphens/>
        <w:autoSpaceDE w:val="0"/>
        <w:autoSpaceDN w:val="0"/>
        <w:adjustRightInd w:val="0"/>
        <w:spacing w:line="280" w:lineRule="exact"/>
        <w:ind w:left="360"/>
        <w:jc w:val="both"/>
        <w:rPr>
          <w:rFonts w:ascii="Arial" w:hAnsi="Arial" w:cs="Arial"/>
          <w:sz w:val="20"/>
          <w:szCs w:val="20"/>
          <w:lang w:val="es-ES"/>
        </w:rPr>
      </w:pPr>
    </w:p>
    <w:p w:rsidR="005E190C" w:rsidRPr="00B86181" w:rsidRDefault="005F4D8B" w:rsidP="00B02E8D">
      <w:pPr>
        <w:widowControl/>
        <w:suppressAutoHyphens/>
        <w:autoSpaceDE w:val="0"/>
        <w:autoSpaceDN w:val="0"/>
        <w:adjustRightInd w:val="0"/>
        <w:spacing w:line="280" w:lineRule="exact"/>
        <w:ind w:left="360"/>
        <w:jc w:val="both"/>
        <w:rPr>
          <w:rFonts w:ascii="Arial" w:hAnsi="Arial" w:cs="Arial"/>
          <w:sz w:val="20"/>
          <w:szCs w:val="20"/>
          <w:lang w:val="es-ES"/>
        </w:rPr>
      </w:pPr>
      <w:r w:rsidRPr="005F4D8B">
        <w:rPr>
          <w:rFonts w:ascii="Arial" w:hAnsi="Arial" w:cs="Arial"/>
          <w:sz w:val="20"/>
          <w:szCs w:val="20"/>
          <w:lang w:val="es-ES"/>
        </w:rPr>
        <w:t>Su producción industrial increment</w:t>
      </w:r>
      <w:r>
        <w:rPr>
          <w:rFonts w:ascii="Arial" w:hAnsi="Arial" w:cs="Arial"/>
          <w:sz w:val="20"/>
          <w:szCs w:val="20"/>
          <w:lang w:val="es-ES"/>
        </w:rPr>
        <w:t>ó</w:t>
      </w:r>
      <w:r w:rsidRPr="005F4D8B">
        <w:rPr>
          <w:rFonts w:ascii="Arial" w:hAnsi="Arial" w:cs="Arial"/>
          <w:sz w:val="20"/>
          <w:szCs w:val="20"/>
          <w:lang w:val="es-ES"/>
        </w:rPr>
        <w:t xml:space="preserve"> en </w:t>
      </w:r>
      <w:r w:rsidR="005E190C" w:rsidRPr="005F4D8B">
        <w:rPr>
          <w:rFonts w:ascii="Arial" w:hAnsi="Arial" w:cs="Arial"/>
          <w:sz w:val="20"/>
          <w:szCs w:val="20"/>
          <w:lang w:val="es-ES"/>
        </w:rPr>
        <w:t xml:space="preserve">3.2% </w:t>
      </w:r>
      <w:r w:rsidRPr="005F4D8B">
        <w:rPr>
          <w:rFonts w:ascii="Arial" w:hAnsi="Arial" w:cs="Arial"/>
          <w:sz w:val="20"/>
          <w:szCs w:val="20"/>
          <w:lang w:val="es-ES"/>
        </w:rPr>
        <w:t xml:space="preserve">en base </w:t>
      </w:r>
      <w:r>
        <w:rPr>
          <w:rFonts w:ascii="Arial" w:hAnsi="Arial" w:cs="Arial"/>
          <w:sz w:val="20"/>
          <w:szCs w:val="20"/>
          <w:lang w:val="es-ES"/>
        </w:rPr>
        <w:t>an</w:t>
      </w:r>
      <w:r w:rsidRPr="005F4D8B">
        <w:rPr>
          <w:rFonts w:ascii="Arial" w:hAnsi="Arial" w:cs="Arial"/>
          <w:sz w:val="20"/>
          <w:szCs w:val="20"/>
          <w:lang w:val="es-ES"/>
        </w:rPr>
        <w:t>ual, en el tercer trimestr</w:t>
      </w:r>
      <w:r>
        <w:rPr>
          <w:rFonts w:ascii="Arial" w:hAnsi="Arial" w:cs="Arial"/>
          <w:sz w:val="20"/>
          <w:szCs w:val="20"/>
          <w:lang w:val="es-ES"/>
        </w:rPr>
        <w:t>e</w:t>
      </w:r>
      <w:r w:rsidRPr="005F4D8B">
        <w:rPr>
          <w:rFonts w:ascii="Arial" w:hAnsi="Arial" w:cs="Arial"/>
          <w:sz w:val="20"/>
          <w:szCs w:val="20"/>
          <w:lang w:val="es-ES"/>
        </w:rPr>
        <w:t xml:space="preserve"> de </w:t>
      </w:r>
      <w:r w:rsidR="005E190C" w:rsidRPr="005F4D8B">
        <w:rPr>
          <w:rFonts w:ascii="Arial" w:hAnsi="Arial" w:cs="Arial"/>
          <w:sz w:val="20"/>
          <w:szCs w:val="20"/>
          <w:lang w:val="es-ES"/>
        </w:rPr>
        <w:t xml:space="preserve">2014. </w:t>
      </w:r>
      <w:r>
        <w:rPr>
          <w:rFonts w:ascii="Arial" w:hAnsi="Arial" w:cs="Arial"/>
          <w:sz w:val="20"/>
          <w:szCs w:val="20"/>
          <w:lang w:val="es-ES"/>
        </w:rPr>
        <w:t xml:space="preserve"> Esto es impulsado por su fuerte actividad del sector en los dos mayores mercados, el automotor y la industria de la construcción</w:t>
      </w:r>
      <w:r w:rsidR="005E190C" w:rsidRPr="005F4D8B">
        <w:rPr>
          <w:rFonts w:ascii="Arial" w:hAnsi="Arial" w:cs="Arial"/>
          <w:sz w:val="20"/>
          <w:szCs w:val="20"/>
          <w:lang w:val="es-ES"/>
        </w:rPr>
        <w:t xml:space="preserve">. </w:t>
      </w:r>
      <w:r w:rsidR="00860F06">
        <w:rPr>
          <w:rFonts w:ascii="Arial" w:hAnsi="Arial" w:cs="Arial"/>
          <w:sz w:val="20"/>
          <w:szCs w:val="20"/>
          <w:lang w:val="es-ES"/>
        </w:rPr>
        <w:t xml:space="preserve"> </w:t>
      </w:r>
      <w:r w:rsidR="00860F06" w:rsidRPr="00860F06">
        <w:rPr>
          <w:rFonts w:ascii="Arial" w:hAnsi="Arial" w:cs="Arial"/>
          <w:sz w:val="20"/>
          <w:szCs w:val="20"/>
          <w:lang w:val="es-ES"/>
        </w:rPr>
        <w:t>Las ventas automotrices han subido en un 1.4% en los primeros 10 meses del año comprado con 2013, en un context</w:t>
      </w:r>
      <w:r w:rsidR="00B86181">
        <w:rPr>
          <w:rFonts w:ascii="Arial" w:hAnsi="Arial" w:cs="Arial"/>
          <w:sz w:val="20"/>
          <w:szCs w:val="20"/>
          <w:lang w:val="es-ES"/>
        </w:rPr>
        <w:t>o</w:t>
      </w:r>
      <w:r w:rsidR="00860F06" w:rsidRPr="00860F06">
        <w:rPr>
          <w:rFonts w:ascii="Arial" w:hAnsi="Arial" w:cs="Arial"/>
          <w:sz w:val="20"/>
          <w:szCs w:val="20"/>
          <w:lang w:val="es-ES"/>
        </w:rPr>
        <w:t xml:space="preserve"> impulsado por</w:t>
      </w:r>
      <w:r w:rsidR="00B86181">
        <w:rPr>
          <w:rFonts w:ascii="Arial" w:hAnsi="Arial" w:cs="Arial"/>
          <w:sz w:val="20"/>
          <w:szCs w:val="20"/>
          <w:lang w:val="es-ES"/>
        </w:rPr>
        <w:t xml:space="preserve"> el consumo doméstico.  </w:t>
      </w:r>
      <w:r w:rsidR="00B86181" w:rsidRPr="00B86181">
        <w:rPr>
          <w:rFonts w:ascii="Arial" w:hAnsi="Arial" w:cs="Arial"/>
          <w:sz w:val="20"/>
          <w:szCs w:val="20"/>
          <w:lang w:val="es-ES"/>
        </w:rPr>
        <w:t xml:space="preserve">Y por el lado de la construcción, la actividad y sus precios van a la alza, </w:t>
      </w:r>
      <w:r w:rsidR="00B86181">
        <w:rPr>
          <w:rFonts w:ascii="Arial" w:hAnsi="Arial" w:cs="Arial"/>
          <w:sz w:val="20"/>
          <w:szCs w:val="20"/>
          <w:lang w:val="es-ES"/>
        </w:rPr>
        <w:t>aunque</w:t>
      </w:r>
      <w:r w:rsidR="00B86181" w:rsidRPr="00B86181">
        <w:rPr>
          <w:rFonts w:ascii="Arial" w:hAnsi="Arial" w:cs="Arial"/>
          <w:sz w:val="20"/>
          <w:szCs w:val="20"/>
          <w:lang w:val="es-ES"/>
        </w:rPr>
        <w:t>, a</w:t>
      </w:r>
      <w:r w:rsidR="00B86181">
        <w:rPr>
          <w:rFonts w:ascii="Arial" w:hAnsi="Arial" w:cs="Arial"/>
          <w:sz w:val="20"/>
          <w:szCs w:val="20"/>
          <w:lang w:val="es-ES"/>
        </w:rPr>
        <w:t>ún sin alcanzar los niveles pre-crisis.</w:t>
      </w:r>
    </w:p>
    <w:p w:rsidR="005E190C" w:rsidRPr="00B86181" w:rsidRDefault="005E190C">
      <w:pPr>
        <w:suppressAutoHyphens/>
        <w:spacing w:line="270" w:lineRule="exact"/>
        <w:jc w:val="both"/>
        <w:rPr>
          <w:rFonts w:ascii="Arial" w:hAnsi="Arial" w:cs="Arial"/>
          <w:b/>
          <w:sz w:val="20"/>
          <w:szCs w:val="20"/>
          <w:lang w:val="es-ES"/>
        </w:rPr>
      </w:pPr>
    </w:p>
    <w:p w:rsidR="005E190C" w:rsidRPr="00934478" w:rsidRDefault="005E190C">
      <w:pPr>
        <w:pStyle w:val="ListParagraph"/>
        <w:numPr>
          <w:ilvl w:val="0"/>
          <w:numId w:val="11"/>
        </w:numPr>
        <w:suppressAutoHyphens/>
        <w:spacing w:line="280" w:lineRule="exact"/>
        <w:jc w:val="both"/>
        <w:rPr>
          <w:rFonts w:ascii="Arial" w:hAnsi="Arial" w:cs="Arial"/>
          <w:b/>
          <w:sz w:val="20"/>
          <w:szCs w:val="20"/>
          <w:lang w:val="es-MX"/>
        </w:rPr>
      </w:pPr>
      <w:r w:rsidRPr="00934478">
        <w:rPr>
          <w:rFonts w:ascii="Arial" w:hAnsi="Arial" w:cs="Arial"/>
          <w:b/>
          <w:sz w:val="20"/>
          <w:szCs w:val="20"/>
          <w:lang w:val="es-MX"/>
        </w:rPr>
        <w:t>Transport</w:t>
      </w:r>
      <w:r w:rsidR="00B86181" w:rsidRPr="00934478">
        <w:rPr>
          <w:rFonts w:ascii="Arial" w:hAnsi="Arial" w:cs="Arial"/>
          <w:b/>
          <w:sz w:val="20"/>
          <w:szCs w:val="20"/>
          <w:lang w:val="es-MX"/>
        </w:rPr>
        <w:t>e</w:t>
      </w:r>
    </w:p>
    <w:p w:rsidR="005E190C" w:rsidRDefault="005E190C">
      <w:pPr>
        <w:suppressAutoHyphens/>
        <w:spacing w:line="270" w:lineRule="exact"/>
        <w:jc w:val="both"/>
        <w:rPr>
          <w:rFonts w:ascii="Arial" w:hAnsi="Arial" w:cs="Arial"/>
          <w:b/>
          <w:sz w:val="20"/>
          <w:szCs w:val="20"/>
        </w:rPr>
      </w:pPr>
    </w:p>
    <w:p w:rsidR="00A66E5B" w:rsidRDefault="00537804" w:rsidP="00B02E8D">
      <w:pPr>
        <w:suppressAutoHyphens/>
        <w:spacing w:line="280" w:lineRule="exact"/>
        <w:ind w:left="360"/>
        <w:jc w:val="both"/>
        <w:rPr>
          <w:rFonts w:ascii="Arial" w:hAnsi="Arial" w:cs="Arial"/>
          <w:sz w:val="20"/>
          <w:szCs w:val="20"/>
          <w:lang w:val="es-ES"/>
        </w:rPr>
      </w:pPr>
      <w:r w:rsidRPr="00537804">
        <w:rPr>
          <w:rFonts w:ascii="Arial" w:hAnsi="Arial" w:cs="Arial"/>
          <w:sz w:val="20"/>
          <w:szCs w:val="20"/>
          <w:lang w:val="es-ES"/>
        </w:rPr>
        <w:t>Estimulado por un crecim</w:t>
      </w:r>
      <w:r w:rsidR="00AB13CA">
        <w:rPr>
          <w:rFonts w:ascii="Arial" w:hAnsi="Arial" w:cs="Arial"/>
          <w:sz w:val="20"/>
          <w:szCs w:val="20"/>
          <w:lang w:val="es-ES"/>
        </w:rPr>
        <w:t>i</w:t>
      </w:r>
      <w:r w:rsidRPr="00537804">
        <w:rPr>
          <w:rFonts w:ascii="Arial" w:hAnsi="Arial" w:cs="Arial"/>
          <w:sz w:val="20"/>
          <w:szCs w:val="20"/>
          <w:lang w:val="es-ES"/>
        </w:rPr>
        <w:t>ento global este año, por primera vez desde 2010</w:t>
      </w:r>
      <w:r w:rsidR="00B02E8D" w:rsidRPr="00537804">
        <w:rPr>
          <w:rFonts w:ascii="Arial" w:hAnsi="Arial" w:cs="Arial"/>
          <w:sz w:val="20"/>
          <w:szCs w:val="20"/>
          <w:lang w:val="es-ES"/>
        </w:rPr>
        <w:t>,</w:t>
      </w:r>
      <w:r w:rsidR="005E190C" w:rsidRPr="00537804">
        <w:rPr>
          <w:rFonts w:ascii="Arial" w:hAnsi="Arial" w:cs="Arial"/>
          <w:sz w:val="20"/>
          <w:szCs w:val="20"/>
          <w:lang w:val="es-ES"/>
        </w:rPr>
        <w:t xml:space="preserve"> </w:t>
      </w:r>
      <w:r w:rsidRPr="00537804">
        <w:rPr>
          <w:rFonts w:ascii="Arial" w:hAnsi="Arial" w:cs="Arial"/>
          <w:sz w:val="20"/>
          <w:szCs w:val="20"/>
          <w:lang w:val="es-ES"/>
        </w:rPr>
        <w:t xml:space="preserve">y </w:t>
      </w:r>
      <w:r w:rsidR="00A66E5B" w:rsidRPr="00537804">
        <w:rPr>
          <w:rFonts w:ascii="Arial" w:hAnsi="Arial" w:cs="Arial"/>
          <w:sz w:val="20"/>
          <w:szCs w:val="20"/>
          <w:lang w:val="es-ES"/>
        </w:rPr>
        <w:t>a través</w:t>
      </w:r>
      <w:r w:rsidRPr="00537804">
        <w:rPr>
          <w:rFonts w:ascii="Arial" w:hAnsi="Arial" w:cs="Arial"/>
          <w:sz w:val="20"/>
          <w:szCs w:val="20"/>
          <w:lang w:val="es-ES"/>
        </w:rPr>
        <w:t xml:space="preserve"> de una aceleración esperada en el comercio internacional en </w:t>
      </w:r>
      <w:r w:rsidR="005E190C" w:rsidRPr="00537804">
        <w:rPr>
          <w:rFonts w:ascii="Arial" w:hAnsi="Arial" w:cs="Arial"/>
          <w:sz w:val="20"/>
          <w:szCs w:val="20"/>
          <w:lang w:val="es-ES"/>
        </w:rPr>
        <w:t xml:space="preserve">2015, </w:t>
      </w:r>
      <w:r w:rsidRPr="00537804">
        <w:rPr>
          <w:rFonts w:ascii="Arial" w:hAnsi="Arial" w:cs="Arial"/>
          <w:sz w:val="20"/>
          <w:szCs w:val="20"/>
          <w:lang w:val="es-ES"/>
        </w:rPr>
        <w:t xml:space="preserve">el sector del transporte ha registrado un sólido desempeño.  Mientras que en Europa, </w:t>
      </w:r>
      <w:r w:rsidR="00A66E5B">
        <w:rPr>
          <w:rFonts w:ascii="Arial" w:hAnsi="Arial" w:cs="Arial"/>
          <w:sz w:val="20"/>
          <w:szCs w:val="20"/>
          <w:lang w:val="es-ES"/>
        </w:rPr>
        <w:t xml:space="preserve">el transporte aéreo de </w:t>
      </w:r>
      <w:r w:rsidRPr="00537804">
        <w:rPr>
          <w:rFonts w:ascii="Arial" w:hAnsi="Arial" w:cs="Arial"/>
          <w:sz w:val="20"/>
          <w:szCs w:val="20"/>
          <w:lang w:val="es-ES"/>
        </w:rPr>
        <w:t xml:space="preserve">carga </w:t>
      </w:r>
      <w:r>
        <w:rPr>
          <w:rFonts w:ascii="Arial" w:hAnsi="Arial" w:cs="Arial"/>
          <w:sz w:val="20"/>
          <w:szCs w:val="20"/>
          <w:lang w:val="es-ES"/>
        </w:rPr>
        <w:t>ha sufrido los efectos de</w:t>
      </w:r>
      <w:r w:rsidR="0059487E">
        <w:rPr>
          <w:rFonts w:ascii="Arial" w:hAnsi="Arial" w:cs="Arial"/>
          <w:sz w:val="20"/>
          <w:szCs w:val="20"/>
          <w:lang w:val="es-ES"/>
        </w:rPr>
        <w:t>l</w:t>
      </w:r>
      <w:r>
        <w:rPr>
          <w:rFonts w:ascii="Arial" w:hAnsi="Arial" w:cs="Arial"/>
          <w:sz w:val="20"/>
          <w:szCs w:val="20"/>
          <w:lang w:val="es-ES"/>
        </w:rPr>
        <w:t xml:space="preserve"> embargo de Rusia en </w:t>
      </w:r>
      <w:r>
        <w:rPr>
          <w:rFonts w:ascii="Arial" w:hAnsi="Arial" w:cs="Arial"/>
          <w:sz w:val="20"/>
          <w:szCs w:val="20"/>
          <w:lang w:val="es-ES"/>
        </w:rPr>
        <w:lastRenderedPageBreak/>
        <w:t>sus intercambios comerciales y una fuerte competencia con las aerolíneas de bajo costo, en Norte América este sector se ha beneficiado de los efectos positivos de las pasadas reestructuras</w:t>
      </w:r>
      <w:r w:rsidR="005E190C" w:rsidRPr="00537804">
        <w:rPr>
          <w:rFonts w:ascii="Arial" w:hAnsi="Arial" w:cs="Arial"/>
          <w:sz w:val="20"/>
          <w:szCs w:val="20"/>
          <w:lang w:val="es-ES"/>
        </w:rPr>
        <w:t>.</w:t>
      </w:r>
      <w:r w:rsidR="00AB13CA">
        <w:rPr>
          <w:rFonts w:ascii="Arial" w:hAnsi="Arial" w:cs="Arial"/>
          <w:sz w:val="20"/>
          <w:szCs w:val="20"/>
          <w:lang w:val="es-ES"/>
        </w:rPr>
        <w:t xml:space="preserve">  </w:t>
      </w:r>
      <w:r w:rsidR="00AB13CA" w:rsidRPr="00AB13CA">
        <w:rPr>
          <w:rFonts w:ascii="Arial" w:hAnsi="Arial" w:cs="Arial"/>
          <w:sz w:val="20"/>
          <w:szCs w:val="20"/>
          <w:lang w:val="es-ES"/>
        </w:rPr>
        <w:t xml:space="preserve">Considerando que el mercado ha mostrado signos de su madurez con un crecimiento de </w:t>
      </w:r>
      <w:r w:rsidR="005E190C" w:rsidRPr="00AB13CA">
        <w:rPr>
          <w:rFonts w:ascii="Arial" w:hAnsi="Arial" w:cs="Arial"/>
          <w:sz w:val="20"/>
          <w:szCs w:val="20"/>
          <w:lang w:val="es-ES"/>
        </w:rPr>
        <w:t>2.8%</w:t>
      </w:r>
      <w:r w:rsidR="00AB13CA" w:rsidRPr="00AB13CA">
        <w:rPr>
          <w:rFonts w:ascii="Arial" w:hAnsi="Arial" w:cs="Arial"/>
          <w:sz w:val="20"/>
          <w:szCs w:val="20"/>
          <w:lang w:val="es-ES"/>
        </w:rPr>
        <w:t xml:space="preserve"> </w:t>
      </w:r>
      <w:r w:rsidR="0059487E">
        <w:rPr>
          <w:rFonts w:ascii="Arial" w:hAnsi="Arial" w:cs="Arial"/>
          <w:sz w:val="20"/>
          <w:szCs w:val="20"/>
          <w:lang w:val="es-ES"/>
        </w:rPr>
        <w:t xml:space="preserve">sólo </w:t>
      </w:r>
      <w:r w:rsidR="00AB13CA" w:rsidRPr="00AB13CA">
        <w:rPr>
          <w:rFonts w:ascii="Arial" w:hAnsi="Arial" w:cs="Arial"/>
          <w:sz w:val="20"/>
          <w:szCs w:val="20"/>
          <w:lang w:val="es-ES"/>
        </w:rPr>
        <w:t>para el mes de Septiembre, la rentabilidad de las compañ</w:t>
      </w:r>
      <w:r w:rsidR="00AB13CA">
        <w:rPr>
          <w:rFonts w:ascii="Arial" w:hAnsi="Arial" w:cs="Arial"/>
          <w:sz w:val="20"/>
          <w:szCs w:val="20"/>
          <w:lang w:val="es-ES"/>
        </w:rPr>
        <w:t xml:space="preserve">ías permanece debajo de lo observado en Europa.  Además el auge del crecimiento en Estados </w:t>
      </w:r>
      <w:r w:rsidR="0059487E">
        <w:rPr>
          <w:rFonts w:ascii="Arial" w:hAnsi="Arial" w:cs="Arial"/>
          <w:sz w:val="20"/>
          <w:szCs w:val="20"/>
          <w:lang w:val="es-ES"/>
        </w:rPr>
        <w:t>U</w:t>
      </w:r>
      <w:r w:rsidR="00AB13CA">
        <w:rPr>
          <w:rFonts w:ascii="Arial" w:hAnsi="Arial" w:cs="Arial"/>
          <w:sz w:val="20"/>
          <w:szCs w:val="20"/>
          <w:lang w:val="es-ES"/>
        </w:rPr>
        <w:t xml:space="preserve">nidos ha contribuido en </w:t>
      </w:r>
      <w:r w:rsidR="0059487E">
        <w:rPr>
          <w:rFonts w:ascii="Arial" w:hAnsi="Arial" w:cs="Arial"/>
          <w:sz w:val="20"/>
          <w:szCs w:val="20"/>
          <w:lang w:val="es-ES"/>
        </w:rPr>
        <w:t>el</w:t>
      </w:r>
      <w:r w:rsidR="00AB13CA">
        <w:rPr>
          <w:rFonts w:ascii="Arial" w:hAnsi="Arial" w:cs="Arial"/>
          <w:sz w:val="20"/>
          <w:szCs w:val="20"/>
          <w:lang w:val="es-ES"/>
        </w:rPr>
        <w:t xml:space="preserve"> resurg</w:t>
      </w:r>
      <w:r w:rsidR="00A66E5B">
        <w:rPr>
          <w:rFonts w:ascii="Arial" w:hAnsi="Arial" w:cs="Arial"/>
          <w:sz w:val="20"/>
          <w:szCs w:val="20"/>
          <w:lang w:val="es-ES"/>
        </w:rPr>
        <w:t>imiento</w:t>
      </w:r>
      <w:r w:rsidR="00AB13CA">
        <w:rPr>
          <w:rFonts w:ascii="Arial" w:hAnsi="Arial" w:cs="Arial"/>
          <w:sz w:val="20"/>
          <w:szCs w:val="20"/>
          <w:lang w:val="es-ES"/>
        </w:rPr>
        <w:t xml:space="preserve"> de la demanda en los negocios y en </w:t>
      </w:r>
      <w:r w:rsidR="00A66E5B">
        <w:rPr>
          <w:rFonts w:ascii="Arial" w:hAnsi="Arial" w:cs="Arial"/>
          <w:sz w:val="20"/>
          <w:szCs w:val="20"/>
          <w:lang w:val="es-ES"/>
        </w:rPr>
        <w:t>el transporte de</w:t>
      </w:r>
      <w:r w:rsidR="00AB13CA">
        <w:rPr>
          <w:rFonts w:ascii="Arial" w:hAnsi="Arial" w:cs="Arial"/>
          <w:sz w:val="20"/>
          <w:szCs w:val="20"/>
          <w:lang w:val="es-ES"/>
        </w:rPr>
        <w:t xml:space="preserve"> carga</w:t>
      </w:r>
      <w:r w:rsidR="005E190C" w:rsidRPr="00AB13CA">
        <w:rPr>
          <w:rFonts w:ascii="Arial" w:hAnsi="Arial" w:cs="Arial"/>
          <w:sz w:val="20"/>
          <w:szCs w:val="20"/>
          <w:lang w:val="es-ES"/>
        </w:rPr>
        <w:t>.</w:t>
      </w:r>
    </w:p>
    <w:p w:rsidR="00B02E8D" w:rsidRPr="0059487E" w:rsidRDefault="00A66E5B" w:rsidP="00B02E8D">
      <w:pPr>
        <w:suppressAutoHyphens/>
        <w:spacing w:line="280" w:lineRule="exact"/>
        <w:ind w:left="360"/>
        <w:jc w:val="both"/>
        <w:rPr>
          <w:rFonts w:ascii="Arial" w:hAnsi="Arial" w:cs="Arial"/>
          <w:sz w:val="20"/>
          <w:szCs w:val="20"/>
          <w:lang w:val="es-ES"/>
        </w:rPr>
      </w:pPr>
      <w:r w:rsidRPr="0059487E">
        <w:rPr>
          <w:rFonts w:ascii="Arial" w:hAnsi="Arial" w:cs="Arial"/>
          <w:sz w:val="20"/>
          <w:szCs w:val="20"/>
          <w:lang w:val="es-ES"/>
        </w:rPr>
        <w:t xml:space="preserve"> </w:t>
      </w:r>
    </w:p>
    <w:p w:rsidR="005E190C" w:rsidRPr="00C520E7" w:rsidRDefault="00C520E7">
      <w:pPr>
        <w:pStyle w:val="ListParagraph"/>
        <w:numPr>
          <w:ilvl w:val="0"/>
          <w:numId w:val="11"/>
        </w:numPr>
        <w:suppressAutoHyphens/>
        <w:spacing w:line="280" w:lineRule="exact"/>
        <w:jc w:val="both"/>
        <w:rPr>
          <w:rFonts w:ascii="Arial" w:hAnsi="Arial" w:cs="Arial"/>
          <w:b/>
          <w:sz w:val="20"/>
          <w:szCs w:val="20"/>
          <w:lang w:val="es-MX"/>
        </w:rPr>
      </w:pPr>
      <w:r w:rsidRPr="00C520E7">
        <w:rPr>
          <w:rFonts w:ascii="Arial" w:hAnsi="Arial" w:cs="Arial"/>
          <w:b/>
          <w:sz w:val="20"/>
          <w:szCs w:val="20"/>
          <w:lang w:val="es-MX"/>
        </w:rPr>
        <w:t>Textil y vestimenta</w:t>
      </w:r>
    </w:p>
    <w:p w:rsidR="005E190C" w:rsidRDefault="005E190C">
      <w:pPr>
        <w:suppressAutoHyphens/>
        <w:spacing w:line="270" w:lineRule="exact"/>
        <w:jc w:val="both"/>
        <w:rPr>
          <w:rFonts w:ascii="Arial" w:hAnsi="Arial" w:cs="Arial"/>
          <w:sz w:val="20"/>
          <w:szCs w:val="20"/>
        </w:rPr>
      </w:pPr>
    </w:p>
    <w:p w:rsidR="005E190C" w:rsidRPr="00C520E7" w:rsidRDefault="00C520E7" w:rsidP="00B02E8D">
      <w:pPr>
        <w:widowControl/>
        <w:suppressAutoHyphens/>
        <w:autoSpaceDE w:val="0"/>
        <w:autoSpaceDN w:val="0"/>
        <w:adjustRightInd w:val="0"/>
        <w:spacing w:line="280" w:lineRule="exact"/>
        <w:ind w:left="360"/>
        <w:jc w:val="both"/>
        <w:rPr>
          <w:rFonts w:ascii="Arial" w:eastAsia="PMingLiU" w:hAnsi="Arial" w:cs="Arial"/>
          <w:color w:val="000000"/>
          <w:sz w:val="20"/>
          <w:szCs w:val="20"/>
          <w:lang w:val="es-MX" w:eastAsia="fr-FR"/>
        </w:rPr>
      </w:pPr>
      <w:r w:rsidRPr="00C520E7">
        <w:rPr>
          <w:rFonts w:ascii="Arial" w:eastAsia="PMingLiU" w:hAnsi="Arial" w:cs="Arial"/>
          <w:color w:val="000000"/>
          <w:sz w:val="20"/>
          <w:szCs w:val="20"/>
          <w:lang w:val="es-MX" w:eastAsia="fr-FR"/>
        </w:rPr>
        <w:t xml:space="preserve">El crecimiento en este sector parece tener una estabilización en Norte América, alrededor de </w:t>
      </w:r>
      <w:r w:rsidR="005E190C" w:rsidRPr="00C520E7">
        <w:rPr>
          <w:rFonts w:ascii="Arial" w:eastAsia="PMingLiU" w:hAnsi="Arial" w:cs="Arial"/>
          <w:color w:val="000000"/>
          <w:sz w:val="20"/>
          <w:szCs w:val="20"/>
          <w:lang w:val="es-MX" w:eastAsia="fr-FR"/>
        </w:rPr>
        <w:t xml:space="preserve">2% </w:t>
      </w:r>
      <w:r w:rsidR="009448FA" w:rsidRPr="00C520E7">
        <w:rPr>
          <w:rFonts w:ascii="Arial" w:eastAsia="PMingLiU" w:hAnsi="Arial" w:cs="Arial"/>
          <w:color w:val="000000"/>
          <w:sz w:val="20"/>
          <w:szCs w:val="20"/>
          <w:lang w:val="es-MX" w:eastAsia="fr-FR"/>
        </w:rPr>
        <w:t>anual</w:t>
      </w:r>
      <w:r w:rsidRPr="00C520E7">
        <w:rPr>
          <w:rFonts w:ascii="Arial" w:eastAsia="PMingLiU" w:hAnsi="Arial" w:cs="Arial"/>
          <w:color w:val="000000"/>
          <w:sz w:val="20"/>
          <w:szCs w:val="20"/>
          <w:lang w:val="es-MX" w:eastAsia="fr-FR"/>
        </w:rPr>
        <w:t>mente</w:t>
      </w:r>
      <w:r w:rsidR="00B02E8D" w:rsidRPr="00C520E7">
        <w:rPr>
          <w:rFonts w:ascii="Arial" w:eastAsia="PMingLiU" w:hAnsi="Arial" w:cs="Arial"/>
          <w:color w:val="000000"/>
          <w:sz w:val="20"/>
          <w:szCs w:val="20"/>
          <w:lang w:val="es-MX" w:eastAsia="fr-FR"/>
        </w:rPr>
        <w:t>,</w:t>
      </w:r>
      <w:r w:rsidRPr="00C520E7">
        <w:rPr>
          <w:rFonts w:ascii="Arial" w:eastAsia="PMingLiU" w:hAnsi="Arial" w:cs="Arial"/>
          <w:color w:val="000000"/>
          <w:sz w:val="20"/>
          <w:szCs w:val="20"/>
          <w:lang w:val="es-MX" w:eastAsia="fr-FR"/>
        </w:rPr>
        <w:t xml:space="preserve"> con abundante suministro y demanda estable.  Las cosechas de algodón en esta región</w:t>
      </w:r>
      <w:r w:rsidR="005E190C" w:rsidRPr="00C520E7">
        <w:rPr>
          <w:rFonts w:ascii="Arial" w:eastAsia="PMingLiU" w:hAnsi="Arial" w:cs="Arial"/>
          <w:color w:val="000000"/>
          <w:sz w:val="20"/>
          <w:szCs w:val="20"/>
          <w:lang w:val="es-MX" w:eastAsia="fr-FR"/>
        </w:rPr>
        <w:t xml:space="preserve">, </w:t>
      </w:r>
      <w:r w:rsidRPr="00C520E7">
        <w:rPr>
          <w:rFonts w:ascii="Arial" w:eastAsia="PMingLiU" w:hAnsi="Arial" w:cs="Arial"/>
          <w:color w:val="000000"/>
          <w:sz w:val="20"/>
          <w:szCs w:val="20"/>
          <w:lang w:val="es-MX" w:eastAsia="fr-FR"/>
        </w:rPr>
        <w:t>la cual es el tercer productor más grande a nivel global, podría alcanzar nivel</w:t>
      </w:r>
      <w:r>
        <w:rPr>
          <w:rFonts w:ascii="Arial" w:eastAsia="PMingLiU" w:hAnsi="Arial" w:cs="Arial"/>
          <w:color w:val="000000"/>
          <w:sz w:val="20"/>
          <w:szCs w:val="20"/>
          <w:lang w:val="es-MX" w:eastAsia="fr-FR"/>
        </w:rPr>
        <w:t>e</w:t>
      </w:r>
      <w:r w:rsidRPr="00C520E7">
        <w:rPr>
          <w:rFonts w:ascii="Arial" w:eastAsia="PMingLiU" w:hAnsi="Arial" w:cs="Arial"/>
          <w:color w:val="000000"/>
          <w:sz w:val="20"/>
          <w:szCs w:val="20"/>
          <w:lang w:val="es-MX" w:eastAsia="fr-FR"/>
        </w:rPr>
        <w:t xml:space="preserve">s del </w:t>
      </w:r>
      <w:r w:rsidR="009448FA" w:rsidRPr="00C520E7">
        <w:rPr>
          <w:rFonts w:ascii="Arial" w:eastAsia="PMingLiU" w:hAnsi="Arial" w:cs="Arial"/>
          <w:color w:val="000000"/>
          <w:sz w:val="20"/>
          <w:szCs w:val="20"/>
          <w:lang w:val="es-MX" w:eastAsia="fr-FR"/>
        </w:rPr>
        <w:t xml:space="preserve">2012/2013 </w:t>
      </w:r>
      <w:r w:rsidRPr="00C520E7">
        <w:rPr>
          <w:rFonts w:ascii="Arial" w:eastAsia="PMingLiU" w:hAnsi="Arial" w:cs="Arial"/>
          <w:color w:val="000000"/>
          <w:sz w:val="20"/>
          <w:szCs w:val="20"/>
          <w:lang w:val="es-MX" w:eastAsia="fr-FR"/>
        </w:rPr>
        <w:t xml:space="preserve">con un crecimiento esperado del </w:t>
      </w:r>
      <w:r w:rsidR="005E190C" w:rsidRPr="00C520E7">
        <w:rPr>
          <w:rFonts w:ascii="Arial" w:eastAsia="PMingLiU" w:hAnsi="Arial" w:cs="Arial"/>
          <w:color w:val="000000"/>
          <w:sz w:val="20"/>
          <w:szCs w:val="20"/>
          <w:lang w:val="es-MX" w:eastAsia="fr-FR"/>
        </w:rPr>
        <w:t xml:space="preserve">24% </w:t>
      </w:r>
      <w:r w:rsidRPr="00C520E7">
        <w:rPr>
          <w:rFonts w:ascii="Arial" w:eastAsia="PMingLiU" w:hAnsi="Arial" w:cs="Arial"/>
          <w:color w:val="000000"/>
          <w:sz w:val="20"/>
          <w:szCs w:val="20"/>
          <w:lang w:val="es-MX" w:eastAsia="fr-FR"/>
        </w:rPr>
        <w:t xml:space="preserve">en volumen para alcanzar los </w:t>
      </w:r>
      <w:r w:rsidR="005E190C" w:rsidRPr="00C520E7">
        <w:rPr>
          <w:rFonts w:ascii="Arial" w:eastAsia="PMingLiU" w:hAnsi="Arial" w:cs="Arial"/>
          <w:color w:val="000000"/>
          <w:sz w:val="20"/>
          <w:szCs w:val="20"/>
          <w:lang w:val="es-MX" w:eastAsia="fr-FR"/>
        </w:rPr>
        <w:t>3.5 millon</w:t>
      </w:r>
      <w:r w:rsidRPr="00C520E7">
        <w:rPr>
          <w:rFonts w:ascii="Arial" w:eastAsia="PMingLiU" w:hAnsi="Arial" w:cs="Arial"/>
          <w:color w:val="000000"/>
          <w:sz w:val="20"/>
          <w:szCs w:val="20"/>
          <w:lang w:val="es-MX" w:eastAsia="fr-FR"/>
        </w:rPr>
        <w:t>es de toneladas</w:t>
      </w:r>
      <w:r w:rsidR="005E190C" w:rsidRPr="00C520E7">
        <w:rPr>
          <w:rStyle w:val="Refdenotaalpie"/>
          <w:rFonts w:ascii="Arial" w:eastAsia="PMingLiU" w:hAnsi="Arial"/>
          <w:color w:val="000000"/>
          <w:sz w:val="20"/>
          <w:szCs w:val="20"/>
          <w:lang w:val="es-MX" w:eastAsia="fr-FR"/>
        </w:rPr>
        <w:footnoteReference w:id="1"/>
      </w:r>
      <w:r w:rsidR="005E190C" w:rsidRPr="00C520E7">
        <w:rPr>
          <w:rFonts w:ascii="Arial" w:eastAsia="PMingLiU" w:hAnsi="Arial" w:cs="Arial"/>
          <w:color w:val="000000"/>
          <w:sz w:val="20"/>
          <w:szCs w:val="20"/>
          <w:lang w:val="es-MX" w:eastAsia="fr-FR"/>
        </w:rPr>
        <w:t xml:space="preserve">. </w:t>
      </w:r>
      <w:r w:rsidRPr="00C520E7">
        <w:rPr>
          <w:rFonts w:ascii="Arial" w:eastAsia="PMingLiU" w:hAnsi="Arial" w:cs="Arial"/>
          <w:color w:val="000000"/>
          <w:sz w:val="20"/>
          <w:szCs w:val="20"/>
          <w:lang w:val="es-MX" w:eastAsia="fr-FR"/>
        </w:rPr>
        <w:t xml:space="preserve"> Debido a la resiliencia del empleo y gasto de los consumidores en América, el “momentum” de la demanda en este sector es relativamente favorable comparado con Europa</w:t>
      </w:r>
      <w:r w:rsidR="005E190C" w:rsidRPr="00C520E7">
        <w:rPr>
          <w:rFonts w:ascii="Arial" w:eastAsia="PMingLiU" w:hAnsi="Arial" w:cs="Arial"/>
          <w:color w:val="000000"/>
          <w:sz w:val="20"/>
          <w:szCs w:val="20"/>
          <w:lang w:val="es-MX" w:eastAsia="fr-FR"/>
        </w:rPr>
        <w:t xml:space="preserve">. </w:t>
      </w:r>
    </w:p>
    <w:p w:rsidR="005E190C" w:rsidRPr="00C520E7" w:rsidRDefault="005E190C">
      <w:pPr>
        <w:suppressAutoHyphens/>
        <w:spacing w:line="270" w:lineRule="exact"/>
        <w:jc w:val="both"/>
        <w:rPr>
          <w:rFonts w:ascii="Arial" w:hAnsi="Arial" w:cs="Arial"/>
          <w:i/>
          <w:sz w:val="20"/>
          <w:szCs w:val="20"/>
          <w:lang w:val="es-ES"/>
        </w:rPr>
      </w:pPr>
    </w:p>
    <w:p w:rsidR="005E190C" w:rsidRPr="001B1C73" w:rsidRDefault="001B1C73">
      <w:pPr>
        <w:suppressAutoHyphens/>
        <w:spacing w:line="280" w:lineRule="exact"/>
        <w:jc w:val="both"/>
        <w:rPr>
          <w:rStyle w:val="nfasis"/>
          <w:rFonts w:ascii="Arial" w:hAnsi="Arial" w:cs="Arial"/>
          <w:b/>
          <w:bCs/>
          <w:i w:val="0"/>
          <w:iCs/>
          <w:color w:val="000000"/>
          <w:sz w:val="20"/>
          <w:szCs w:val="20"/>
          <w:lang w:val="es-ES"/>
        </w:rPr>
      </w:pPr>
      <w:r w:rsidRPr="001B1C73">
        <w:rPr>
          <w:rFonts w:ascii="Arial" w:hAnsi="Arial" w:cs="Arial"/>
          <w:b/>
          <w:sz w:val="22"/>
          <w:szCs w:val="22"/>
          <w:lang w:val="es-ES"/>
        </w:rPr>
        <w:t>Alerta en el sector de la distribución en Europa Occidental</w:t>
      </w:r>
      <w:r w:rsidR="005E190C" w:rsidRPr="001B1C73">
        <w:rPr>
          <w:rFonts w:ascii="Arial" w:hAnsi="Arial" w:cs="Arial"/>
          <w:b/>
          <w:sz w:val="22"/>
          <w:szCs w:val="22"/>
          <w:lang w:val="es-ES"/>
        </w:rPr>
        <w:t xml:space="preserve"> </w:t>
      </w:r>
    </w:p>
    <w:p w:rsidR="005E190C" w:rsidRPr="001B1C73" w:rsidRDefault="005E190C">
      <w:pPr>
        <w:suppressAutoHyphens/>
        <w:spacing w:line="270" w:lineRule="exact"/>
        <w:jc w:val="both"/>
        <w:rPr>
          <w:noProof/>
          <w:lang w:val="es-ES" w:eastAsia="fr-FR"/>
        </w:rPr>
      </w:pPr>
    </w:p>
    <w:p w:rsidR="005E190C" w:rsidRPr="001B1C73" w:rsidRDefault="001B1C73">
      <w:pPr>
        <w:widowControl/>
        <w:suppressAutoHyphens/>
        <w:autoSpaceDE w:val="0"/>
        <w:autoSpaceDN w:val="0"/>
        <w:adjustRightInd w:val="0"/>
        <w:spacing w:line="280" w:lineRule="exact"/>
        <w:jc w:val="both"/>
        <w:rPr>
          <w:rFonts w:ascii="Arial" w:eastAsia="PMingLiU" w:hAnsi="Arial" w:cs="Arial"/>
          <w:color w:val="000000"/>
          <w:sz w:val="20"/>
          <w:szCs w:val="20"/>
          <w:lang w:val="es-ES" w:eastAsia="fr-FR"/>
        </w:rPr>
      </w:pPr>
      <w:r w:rsidRPr="001B1C73">
        <w:rPr>
          <w:rFonts w:ascii="Arial" w:eastAsia="PMingLiU" w:hAnsi="Arial" w:cs="Arial"/>
          <w:color w:val="000000"/>
          <w:sz w:val="20"/>
          <w:szCs w:val="20"/>
          <w:lang w:val="es-ES" w:eastAsia="fr-FR"/>
        </w:rPr>
        <w:t xml:space="preserve">La débil recuperación en Europa </w:t>
      </w:r>
      <w:r w:rsidR="007F4A0D">
        <w:rPr>
          <w:rFonts w:ascii="Arial" w:eastAsia="PMingLiU" w:hAnsi="Arial" w:cs="Arial"/>
          <w:color w:val="000000"/>
          <w:sz w:val="20"/>
          <w:szCs w:val="20"/>
          <w:lang w:val="es-ES" w:eastAsia="fr-FR"/>
        </w:rPr>
        <w:t xml:space="preserve">Occidental </w:t>
      </w:r>
      <w:r w:rsidRPr="001B1C73">
        <w:rPr>
          <w:rFonts w:ascii="Arial" w:eastAsia="PMingLiU" w:hAnsi="Arial" w:cs="Arial"/>
          <w:color w:val="000000"/>
          <w:sz w:val="20"/>
          <w:szCs w:val="20"/>
          <w:lang w:val="es-ES" w:eastAsia="fr-FR"/>
        </w:rPr>
        <w:t xml:space="preserve">y los problemas de la irresuelta sobreproducción en los sectores conectados a la inversión </w:t>
      </w:r>
      <w:r w:rsidR="007F4A0D">
        <w:rPr>
          <w:rFonts w:ascii="Arial" w:eastAsia="PMingLiU" w:hAnsi="Arial" w:cs="Arial"/>
          <w:color w:val="000000"/>
          <w:sz w:val="20"/>
          <w:szCs w:val="20"/>
          <w:lang w:val="es-ES" w:eastAsia="fr-FR"/>
        </w:rPr>
        <w:t>en</w:t>
      </w:r>
      <w:r w:rsidRPr="001B1C73">
        <w:rPr>
          <w:rFonts w:ascii="Arial" w:eastAsia="PMingLiU" w:hAnsi="Arial" w:cs="Arial"/>
          <w:color w:val="000000"/>
          <w:sz w:val="20"/>
          <w:szCs w:val="20"/>
          <w:lang w:val="es-ES" w:eastAsia="fr-FR"/>
        </w:rPr>
        <w:t xml:space="preserve"> inf</w:t>
      </w:r>
      <w:r>
        <w:rPr>
          <w:rFonts w:ascii="Arial" w:eastAsia="PMingLiU" w:hAnsi="Arial" w:cs="Arial"/>
          <w:color w:val="000000"/>
          <w:sz w:val="20"/>
          <w:szCs w:val="20"/>
          <w:lang w:val="es-ES" w:eastAsia="fr-FR"/>
        </w:rPr>
        <w:t>ra</w:t>
      </w:r>
      <w:r w:rsidRPr="001B1C73">
        <w:rPr>
          <w:rFonts w:ascii="Arial" w:eastAsia="PMingLiU" w:hAnsi="Arial" w:cs="Arial"/>
          <w:color w:val="000000"/>
          <w:sz w:val="20"/>
          <w:szCs w:val="20"/>
          <w:lang w:val="es-ES" w:eastAsia="fr-FR"/>
        </w:rPr>
        <w:t xml:space="preserve">estructura en los países emergentes en Asia, </w:t>
      </w:r>
      <w:r>
        <w:rPr>
          <w:rFonts w:ascii="Arial" w:eastAsia="PMingLiU" w:hAnsi="Arial" w:cs="Arial"/>
          <w:color w:val="000000"/>
          <w:sz w:val="20"/>
          <w:szCs w:val="20"/>
          <w:lang w:val="es-ES" w:eastAsia="fr-FR"/>
        </w:rPr>
        <w:t>permiten</w:t>
      </w:r>
      <w:r w:rsidRPr="001B1C73">
        <w:rPr>
          <w:rFonts w:ascii="Arial" w:eastAsia="PMingLiU" w:hAnsi="Arial" w:cs="Arial"/>
          <w:color w:val="000000"/>
          <w:sz w:val="20"/>
          <w:szCs w:val="20"/>
          <w:lang w:val="es-ES" w:eastAsia="fr-FR"/>
        </w:rPr>
        <w:t xml:space="preserve"> a Coface</w:t>
      </w:r>
      <w:r>
        <w:rPr>
          <w:rFonts w:ascii="Arial" w:eastAsia="PMingLiU" w:hAnsi="Arial" w:cs="Arial"/>
          <w:color w:val="000000"/>
          <w:sz w:val="20"/>
          <w:szCs w:val="20"/>
          <w:lang w:val="es-ES" w:eastAsia="fr-FR"/>
        </w:rPr>
        <w:t xml:space="preserve"> dejar a estos sectores sin cambio en su evaluación para estas regiones</w:t>
      </w:r>
      <w:r w:rsidR="005E190C" w:rsidRPr="001B1C73">
        <w:rPr>
          <w:rFonts w:ascii="Arial" w:eastAsia="PMingLiU" w:hAnsi="Arial" w:cs="Arial"/>
          <w:color w:val="000000"/>
          <w:sz w:val="20"/>
          <w:szCs w:val="20"/>
          <w:lang w:val="es-ES" w:eastAsia="fr-FR"/>
        </w:rPr>
        <w:t xml:space="preserve">. </w:t>
      </w:r>
    </w:p>
    <w:p w:rsidR="005E190C" w:rsidRPr="001B1C73" w:rsidRDefault="005E190C">
      <w:pPr>
        <w:suppressAutoHyphens/>
        <w:spacing w:line="270" w:lineRule="exact"/>
        <w:jc w:val="both"/>
        <w:rPr>
          <w:rFonts w:ascii="Arial" w:hAnsi="Arial" w:cs="Arial"/>
          <w:i/>
          <w:color w:val="000000"/>
          <w:sz w:val="20"/>
          <w:szCs w:val="20"/>
          <w:lang w:val="es-ES"/>
        </w:rPr>
      </w:pPr>
    </w:p>
    <w:p w:rsidR="005E190C" w:rsidRPr="00BF5ED5" w:rsidRDefault="00BF5ED5" w:rsidP="00351860">
      <w:pPr>
        <w:suppressAutoHyphens/>
        <w:spacing w:line="280" w:lineRule="exact"/>
        <w:jc w:val="both"/>
        <w:rPr>
          <w:rFonts w:ascii="Arial" w:eastAsia="PMingLiU" w:hAnsi="Arial" w:cs="Arial"/>
          <w:color w:val="000000"/>
          <w:sz w:val="20"/>
          <w:szCs w:val="20"/>
          <w:lang w:val="es-ES" w:eastAsia="fr-FR"/>
        </w:rPr>
      </w:pPr>
      <w:r w:rsidRPr="00BF5ED5">
        <w:rPr>
          <w:rFonts w:ascii="Arial" w:eastAsia="PMingLiU" w:hAnsi="Arial" w:cs="Arial"/>
          <w:color w:val="000000"/>
          <w:sz w:val="20"/>
          <w:szCs w:val="20"/>
          <w:lang w:val="es-ES" w:eastAsia="fr-FR"/>
        </w:rPr>
        <w:t xml:space="preserve">Sin embargo, un sector </w:t>
      </w:r>
      <w:r>
        <w:rPr>
          <w:rFonts w:ascii="Arial" w:eastAsia="PMingLiU" w:hAnsi="Arial" w:cs="Arial"/>
          <w:color w:val="000000"/>
          <w:sz w:val="20"/>
          <w:szCs w:val="20"/>
          <w:lang w:val="es-ES" w:eastAsia="fr-FR"/>
        </w:rPr>
        <w:t>a</w:t>
      </w:r>
      <w:r w:rsidRPr="00BF5ED5">
        <w:rPr>
          <w:rFonts w:ascii="Arial" w:eastAsia="PMingLiU" w:hAnsi="Arial" w:cs="Arial"/>
          <w:color w:val="000000"/>
          <w:sz w:val="20"/>
          <w:szCs w:val="20"/>
          <w:lang w:val="es-ES" w:eastAsia="fr-FR"/>
        </w:rPr>
        <w:t>hora está vigilado cuidadosamente</w:t>
      </w:r>
      <w:r>
        <w:rPr>
          <w:rFonts w:ascii="Arial" w:eastAsia="PMingLiU" w:hAnsi="Arial" w:cs="Arial"/>
          <w:color w:val="000000"/>
          <w:sz w:val="20"/>
          <w:szCs w:val="20"/>
          <w:lang w:val="es-ES" w:eastAsia="fr-FR"/>
        </w:rPr>
        <w:t xml:space="preserve">.  </w:t>
      </w:r>
      <w:r w:rsidRPr="00BF5ED5">
        <w:rPr>
          <w:rFonts w:ascii="Arial" w:eastAsia="PMingLiU" w:hAnsi="Arial" w:cs="Arial"/>
          <w:color w:val="000000"/>
          <w:sz w:val="20"/>
          <w:szCs w:val="20"/>
          <w:lang w:val="es-ES" w:eastAsia="fr-FR"/>
        </w:rPr>
        <w:t xml:space="preserve">Este es el sector de la distribución en Europa Occidental, el cual es considerado por el momento como de “riesgo medio”. </w:t>
      </w:r>
      <w:r>
        <w:rPr>
          <w:rFonts w:ascii="Arial" w:eastAsia="PMingLiU" w:hAnsi="Arial" w:cs="Arial"/>
          <w:color w:val="000000"/>
          <w:sz w:val="20"/>
          <w:szCs w:val="20"/>
          <w:lang w:val="es-ES" w:eastAsia="fr-FR"/>
        </w:rPr>
        <w:t xml:space="preserve"> </w:t>
      </w:r>
      <w:r w:rsidRPr="00BF5ED5">
        <w:rPr>
          <w:rFonts w:ascii="Arial" w:eastAsia="PMingLiU" w:hAnsi="Arial" w:cs="Arial"/>
          <w:color w:val="000000"/>
          <w:sz w:val="20"/>
          <w:szCs w:val="20"/>
          <w:lang w:val="es-ES" w:eastAsia="fr-FR"/>
        </w:rPr>
        <w:t>En contraste con los países emergentes en Asia y Norte América (donde el sector est</w:t>
      </w:r>
      <w:r>
        <w:rPr>
          <w:rFonts w:ascii="Arial" w:eastAsia="PMingLiU" w:hAnsi="Arial" w:cs="Arial"/>
          <w:color w:val="000000"/>
          <w:sz w:val="20"/>
          <w:szCs w:val="20"/>
          <w:lang w:val="es-ES" w:eastAsia="fr-FR"/>
        </w:rPr>
        <w:t>á clasificado como “riesgo bajo”)</w:t>
      </w:r>
      <w:r w:rsidR="005E190C" w:rsidRPr="00BF5ED5">
        <w:rPr>
          <w:rFonts w:ascii="Arial" w:eastAsia="PMingLiU" w:hAnsi="Arial" w:cs="Arial"/>
          <w:color w:val="000000"/>
          <w:sz w:val="20"/>
          <w:szCs w:val="20"/>
          <w:lang w:val="es-ES" w:eastAsia="fr-FR"/>
        </w:rPr>
        <w:t>,</w:t>
      </w:r>
      <w:r w:rsidRPr="00BF5ED5">
        <w:rPr>
          <w:rFonts w:ascii="Arial" w:eastAsia="PMingLiU" w:hAnsi="Arial" w:cs="Arial"/>
          <w:color w:val="000000"/>
          <w:sz w:val="20"/>
          <w:szCs w:val="20"/>
          <w:lang w:val="es-ES" w:eastAsia="fr-FR"/>
        </w:rPr>
        <w:t xml:space="preserve"> la prolongada lentitud en el gasto de los consumidores en Europa, c</w:t>
      </w:r>
      <w:r>
        <w:rPr>
          <w:rFonts w:ascii="Arial" w:eastAsia="PMingLiU" w:hAnsi="Arial" w:cs="Arial"/>
          <w:color w:val="000000"/>
          <w:sz w:val="20"/>
          <w:szCs w:val="20"/>
          <w:lang w:val="es-ES" w:eastAsia="fr-FR"/>
        </w:rPr>
        <w:t xml:space="preserve">ombinado con la prohibición de exportaciones de productos alimenticios en Rusia, han afectado adversamente los márgenes de los distribuidores y </w:t>
      </w:r>
      <w:r w:rsidR="007F4A0D">
        <w:rPr>
          <w:rFonts w:ascii="Arial" w:eastAsia="PMingLiU" w:hAnsi="Arial" w:cs="Arial"/>
          <w:color w:val="000000"/>
          <w:sz w:val="20"/>
          <w:szCs w:val="20"/>
          <w:lang w:val="es-ES" w:eastAsia="fr-FR"/>
        </w:rPr>
        <w:t>está resultando como una presión de precios a la baja</w:t>
      </w:r>
      <w:r w:rsidR="005E190C" w:rsidRPr="00BF5ED5">
        <w:rPr>
          <w:rFonts w:ascii="Arial" w:eastAsia="PMingLiU" w:hAnsi="Arial" w:cs="Arial"/>
          <w:color w:val="000000"/>
          <w:sz w:val="20"/>
          <w:szCs w:val="20"/>
          <w:lang w:val="es-ES" w:eastAsia="fr-FR"/>
        </w:rPr>
        <w:t>.</w:t>
      </w:r>
    </w:p>
    <w:p w:rsidR="005E190C" w:rsidRDefault="005E190C">
      <w:pPr>
        <w:suppressAutoHyphens/>
        <w:spacing w:line="270" w:lineRule="exact"/>
        <w:jc w:val="both"/>
        <w:rPr>
          <w:rFonts w:ascii="Arial" w:eastAsia="PMingLiU" w:hAnsi="Arial" w:cs="Arial"/>
          <w:color w:val="000000"/>
          <w:sz w:val="20"/>
          <w:szCs w:val="20"/>
          <w:lang w:val="es-ES" w:eastAsia="fr-FR"/>
        </w:rPr>
      </w:pPr>
      <w:bookmarkStart w:id="0" w:name="_GoBack"/>
      <w:bookmarkEnd w:id="0"/>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Default="00E02B9E">
      <w:pPr>
        <w:suppressAutoHyphens/>
        <w:spacing w:line="270" w:lineRule="exact"/>
        <w:jc w:val="both"/>
        <w:rPr>
          <w:rFonts w:ascii="Arial" w:eastAsia="PMingLiU" w:hAnsi="Arial" w:cs="Arial"/>
          <w:color w:val="000000"/>
          <w:sz w:val="20"/>
          <w:szCs w:val="20"/>
          <w:lang w:val="es-ES" w:eastAsia="fr-FR"/>
        </w:rPr>
      </w:pPr>
    </w:p>
    <w:p w:rsidR="00E02B9E" w:rsidRPr="00BF5ED5" w:rsidRDefault="00E02B9E">
      <w:pPr>
        <w:suppressAutoHyphens/>
        <w:spacing w:line="270" w:lineRule="exact"/>
        <w:jc w:val="both"/>
        <w:rPr>
          <w:rFonts w:ascii="Arial" w:eastAsia="PMingLiU" w:hAnsi="Arial" w:cs="Arial"/>
          <w:color w:val="000000"/>
          <w:sz w:val="20"/>
          <w:szCs w:val="20"/>
          <w:lang w:val="es-ES" w:eastAsia="fr-FR"/>
        </w:rPr>
      </w:pPr>
    </w:p>
    <w:tbl>
      <w:tblPr>
        <w:tblW w:w="8540" w:type="dxa"/>
        <w:jc w:val="center"/>
        <w:tblInd w:w="1950" w:type="dxa"/>
        <w:tblLayout w:type="fixed"/>
        <w:tblCellMar>
          <w:left w:w="0" w:type="dxa"/>
          <w:right w:w="0" w:type="dxa"/>
        </w:tblCellMar>
        <w:tblLook w:val="00A0"/>
      </w:tblPr>
      <w:tblGrid>
        <w:gridCol w:w="8540"/>
      </w:tblGrid>
      <w:tr w:rsidR="005E190C" w:rsidRPr="004C054E">
        <w:trPr>
          <w:trHeight w:val="220"/>
          <w:jc w:val="center"/>
        </w:trPr>
        <w:tc>
          <w:tcPr>
            <w:tcW w:w="8540" w:type="dxa"/>
          </w:tcPr>
          <w:p w:rsidR="005E190C" w:rsidRPr="00BF5ED5" w:rsidRDefault="005E190C">
            <w:pPr>
              <w:pStyle w:val="Piedepgina"/>
              <w:spacing w:line="200" w:lineRule="exact"/>
              <w:rPr>
                <w:rFonts w:ascii="Arial" w:hAnsi="Arial" w:cs="Arial"/>
                <w:b/>
                <w:sz w:val="18"/>
                <w:szCs w:val="18"/>
                <w:lang w:val="es-ES"/>
              </w:rPr>
            </w:pPr>
          </w:p>
          <w:p w:rsidR="005E190C" w:rsidRPr="004C054E" w:rsidRDefault="00BF5ED5">
            <w:pPr>
              <w:pStyle w:val="Piedepgina"/>
              <w:spacing w:line="200" w:lineRule="exact"/>
              <w:ind w:left="78"/>
              <w:rPr>
                <w:rFonts w:ascii="Arial" w:hAnsi="Arial" w:cs="Arial"/>
                <w:sz w:val="18"/>
                <w:szCs w:val="18"/>
                <w:lang w:val="nl-NL"/>
              </w:rPr>
            </w:pPr>
            <w:r>
              <w:rPr>
                <w:rFonts w:ascii="Arial" w:hAnsi="Arial" w:cs="Arial"/>
                <w:b/>
                <w:sz w:val="18"/>
                <w:szCs w:val="18"/>
                <w:lang w:val="nl-NL"/>
              </w:rPr>
              <w:t xml:space="preserve">CONTACTO DE </w:t>
            </w:r>
            <w:r w:rsidR="005E190C" w:rsidRPr="004C054E">
              <w:rPr>
                <w:rFonts w:ascii="Arial" w:hAnsi="Arial" w:cs="Arial"/>
                <w:b/>
                <w:sz w:val="18"/>
                <w:szCs w:val="18"/>
                <w:lang w:val="nl-NL"/>
              </w:rPr>
              <w:t>MEDI</w:t>
            </w:r>
            <w:r>
              <w:rPr>
                <w:rFonts w:ascii="Arial" w:hAnsi="Arial" w:cs="Arial"/>
                <w:b/>
                <w:sz w:val="18"/>
                <w:szCs w:val="18"/>
                <w:lang w:val="nl-NL"/>
              </w:rPr>
              <w:t>OS</w:t>
            </w:r>
            <w:r w:rsidR="005E190C" w:rsidRPr="004C054E">
              <w:rPr>
                <w:rFonts w:ascii="Arial" w:hAnsi="Arial" w:cs="Arial"/>
                <w:sz w:val="18"/>
                <w:szCs w:val="18"/>
                <w:lang w:val="nl-NL"/>
              </w:rPr>
              <w:t xml:space="preserve">: </w:t>
            </w:r>
          </w:p>
          <w:p w:rsidR="005E190C" w:rsidRPr="004C054E" w:rsidRDefault="005E190C">
            <w:pPr>
              <w:pStyle w:val="Piedepgina"/>
              <w:spacing w:line="200" w:lineRule="exact"/>
              <w:ind w:left="78"/>
              <w:rPr>
                <w:rFonts w:ascii="Arial" w:hAnsi="Arial" w:cs="Arial"/>
                <w:sz w:val="18"/>
                <w:szCs w:val="18"/>
                <w:lang w:val="nl-NL"/>
              </w:rPr>
            </w:pPr>
            <w:r w:rsidRPr="004C054E">
              <w:rPr>
                <w:rFonts w:ascii="Arial" w:hAnsi="Arial" w:cs="Arial"/>
                <w:sz w:val="18"/>
                <w:szCs w:val="18"/>
                <w:lang w:val="nl-NL"/>
              </w:rPr>
              <w:t xml:space="preserve">Maria KRELLENSTEIN -  T. +33 (0)1 49 02 16 29  </w:t>
            </w:r>
            <w:hyperlink r:id="rId7" w:history="1">
              <w:r w:rsidRPr="004C054E">
                <w:rPr>
                  <w:rStyle w:val="Hipervnculo"/>
                  <w:rFonts w:ascii="Arial" w:hAnsi="Arial" w:cs="Arial"/>
                  <w:sz w:val="18"/>
                  <w:szCs w:val="18"/>
                  <w:lang w:val="nl-NL"/>
                </w:rPr>
                <w:t>maria.krellenstein@coface.com</w:t>
              </w:r>
            </w:hyperlink>
          </w:p>
          <w:p w:rsidR="005E190C" w:rsidRDefault="005E190C">
            <w:pPr>
              <w:spacing w:line="200" w:lineRule="exact"/>
              <w:ind w:left="78"/>
              <w:rPr>
                <w:rStyle w:val="Hipervnculo"/>
                <w:rFonts w:ascii="Arial" w:hAnsi="Arial" w:cs="Arial"/>
                <w:sz w:val="18"/>
                <w:szCs w:val="18"/>
                <w:lang w:val="fr-FR"/>
              </w:rPr>
            </w:pPr>
            <w:r>
              <w:rPr>
                <w:rFonts w:ascii="Arial" w:hAnsi="Arial" w:cs="Arial"/>
                <w:sz w:val="18"/>
                <w:szCs w:val="18"/>
                <w:lang w:val="fr-FR"/>
              </w:rPr>
              <w:t xml:space="preserve">Justine LANSAC – T. +33 (0)1 49 02 24 48  </w:t>
            </w:r>
            <w:hyperlink r:id="rId8" w:history="1">
              <w:r>
                <w:rPr>
                  <w:rStyle w:val="Hipervnculo"/>
                  <w:rFonts w:ascii="Arial" w:hAnsi="Arial" w:cs="Arial"/>
                  <w:sz w:val="18"/>
                  <w:szCs w:val="18"/>
                  <w:lang w:val="fr-FR"/>
                </w:rPr>
                <w:t>ju</w:t>
              </w:r>
              <w:r>
                <w:rPr>
                  <w:rStyle w:val="Hipervnculo"/>
                  <w:rFonts w:ascii="Arial" w:hAnsi="Arial" w:cs="Arial"/>
                  <w:sz w:val="18"/>
                  <w:szCs w:val="18"/>
                  <w:lang w:val="fr-FR"/>
                </w:rPr>
                <w:t>s</w:t>
              </w:r>
              <w:r>
                <w:rPr>
                  <w:rStyle w:val="Hipervnculo"/>
                  <w:rFonts w:ascii="Arial" w:hAnsi="Arial" w:cs="Arial"/>
                  <w:sz w:val="18"/>
                  <w:szCs w:val="18"/>
                  <w:lang w:val="fr-FR"/>
                </w:rPr>
                <w:t>tine.lansac@coface.com</w:t>
              </w:r>
            </w:hyperlink>
          </w:p>
          <w:p w:rsidR="005E190C" w:rsidRDefault="005E190C">
            <w:pPr>
              <w:spacing w:line="200" w:lineRule="exact"/>
              <w:ind w:left="78"/>
              <w:rPr>
                <w:rFonts w:ascii="Arial" w:hAnsi="Arial" w:cs="Arial"/>
                <w:color w:val="0000FF"/>
                <w:sz w:val="18"/>
                <w:szCs w:val="18"/>
                <w:u w:val="single"/>
                <w:lang w:val="fr-FR"/>
              </w:rPr>
            </w:pPr>
          </w:p>
        </w:tc>
      </w:tr>
      <w:tr w:rsidR="005E190C">
        <w:trPr>
          <w:trHeight w:val="220"/>
          <w:jc w:val="center"/>
        </w:trPr>
        <w:tc>
          <w:tcPr>
            <w:tcW w:w="8540" w:type="dxa"/>
            <w:shd w:val="clear" w:color="auto" w:fill="E9EDF4"/>
          </w:tcPr>
          <w:p w:rsidR="00EF4DF9" w:rsidRPr="002F682B" w:rsidRDefault="00EF4DF9" w:rsidP="00EF4DF9">
            <w:pPr>
              <w:spacing w:before="60" w:after="60" w:line="220" w:lineRule="atLeast"/>
              <w:ind w:right="113"/>
              <w:jc w:val="both"/>
              <w:rPr>
                <w:rFonts w:ascii="Arial" w:eastAsia="Times New Roman" w:hAnsi="Arial"/>
                <w:b/>
                <w:bCs/>
                <w:sz w:val="18"/>
                <w:szCs w:val="20"/>
                <w:lang w:val="es-MX"/>
              </w:rPr>
            </w:pPr>
            <w:r w:rsidRPr="002F682B">
              <w:rPr>
                <w:rFonts w:ascii="Arial" w:eastAsia="Times New Roman" w:hAnsi="Arial"/>
                <w:b/>
                <w:bCs/>
                <w:sz w:val="18"/>
                <w:szCs w:val="20"/>
                <w:lang w:val="es-MX"/>
              </w:rPr>
              <w:t>Sobre Coface</w:t>
            </w:r>
          </w:p>
          <w:p w:rsidR="00EF4DF9" w:rsidRPr="002F682B" w:rsidRDefault="00EF4DF9" w:rsidP="00EF4DF9">
            <w:pPr>
              <w:spacing w:before="60" w:after="60" w:line="220" w:lineRule="atLeast"/>
              <w:ind w:left="113" w:right="113"/>
              <w:jc w:val="both"/>
              <w:rPr>
                <w:rFonts w:ascii="Arial" w:eastAsia="Times New Roman" w:hAnsi="Arial"/>
                <w:b/>
                <w:bCs/>
                <w:sz w:val="18"/>
                <w:szCs w:val="20"/>
                <w:lang w:val="es-MX"/>
              </w:rPr>
            </w:pPr>
          </w:p>
          <w:p w:rsidR="00EF4DF9" w:rsidRPr="000A6A92" w:rsidRDefault="00EF4DF9" w:rsidP="00EF4DF9">
            <w:pPr>
              <w:pStyle w:val="Piedepgina"/>
              <w:spacing w:line="200" w:lineRule="exact"/>
              <w:ind w:left="101"/>
              <w:jc w:val="both"/>
              <w:rPr>
                <w:rFonts w:ascii="Arial" w:hAnsi="Arial" w:cs="Arial"/>
                <w:sz w:val="18"/>
                <w:szCs w:val="18"/>
                <w:lang w:val="es-MX"/>
              </w:rPr>
            </w:pPr>
            <w:r w:rsidRPr="00B216E2">
              <w:rPr>
                <w:rFonts w:ascii="Arial" w:hAnsi="Arial" w:cs="Arial"/>
                <w:sz w:val="18"/>
                <w:szCs w:val="18"/>
                <w:lang w:val="es-ES"/>
              </w:rPr>
              <w:t>El Grupo Coface, líder mundial en seguro de crédito, ofrece a empresas de todo el mundo soluciones para protegerlas contra el riesgo de impago de sus clientes, tanto en el mercado nacional como en expo</w:t>
            </w:r>
            <w:r w:rsidRPr="00B216E2">
              <w:rPr>
                <w:rFonts w:ascii="Arial" w:hAnsi="Arial" w:cs="Arial"/>
                <w:sz w:val="18"/>
                <w:szCs w:val="18"/>
                <w:lang w:val="es-ES"/>
              </w:rPr>
              <w:t>r</w:t>
            </w:r>
            <w:r w:rsidRPr="00B216E2">
              <w:rPr>
                <w:rFonts w:ascii="Arial" w:hAnsi="Arial" w:cs="Arial"/>
                <w:sz w:val="18"/>
                <w:szCs w:val="18"/>
                <w:lang w:val="es-ES"/>
              </w:rPr>
              <w:t xml:space="preserve">tación. </w:t>
            </w:r>
            <w:r w:rsidRPr="00CD22FD">
              <w:rPr>
                <w:rFonts w:ascii="Arial" w:hAnsi="Arial" w:cs="Arial"/>
                <w:sz w:val="18"/>
                <w:szCs w:val="18"/>
                <w:lang w:val="es-MX"/>
              </w:rPr>
              <w:t>En 2013,</w:t>
            </w:r>
            <w:r>
              <w:rPr>
                <w:rFonts w:ascii="Arial" w:hAnsi="Arial" w:cs="Arial"/>
                <w:sz w:val="18"/>
                <w:szCs w:val="18"/>
                <w:lang w:val="es-MX"/>
              </w:rPr>
              <w:t xml:space="preserve"> el Grupo, apoyado en sus 4,400 colaboradores, registró una cifra consolidad de neg</w:t>
            </w:r>
            <w:r>
              <w:rPr>
                <w:rFonts w:ascii="Arial" w:hAnsi="Arial" w:cs="Arial"/>
                <w:sz w:val="18"/>
                <w:szCs w:val="18"/>
                <w:lang w:val="es-MX"/>
              </w:rPr>
              <w:t>o</w:t>
            </w:r>
            <w:r>
              <w:rPr>
                <w:rFonts w:ascii="Arial" w:hAnsi="Arial" w:cs="Arial"/>
                <w:sz w:val="18"/>
                <w:szCs w:val="18"/>
                <w:lang w:val="es-MX"/>
              </w:rPr>
              <w:t xml:space="preserve">cios de </w:t>
            </w:r>
            <w:r w:rsidRPr="00CD22FD">
              <w:rPr>
                <w:rFonts w:ascii="Arial" w:hAnsi="Arial" w:cs="Arial"/>
                <w:sz w:val="18"/>
                <w:szCs w:val="18"/>
                <w:lang w:val="es-MX"/>
              </w:rPr>
              <w:t xml:space="preserve">1.440 millones de euros. </w:t>
            </w:r>
            <w:r>
              <w:rPr>
                <w:rFonts w:ascii="Arial" w:hAnsi="Arial" w:cs="Arial"/>
                <w:sz w:val="18"/>
                <w:szCs w:val="18"/>
                <w:lang w:val="es-MX"/>
              </w:rPr>
              <w:t>Con presencia directa e indirecta en 98 países, asegura transacciones de cerca de 37,000 compañías en más de 200 países</w:t>
            </w:r>
            <w:r w:rsidRPr="00CD22FD">
              <w:rPr>
                <w:rFonts w:ascii="Arial" w:hAnsi="Arial" w:cs="Arial"/>
                <w:sz w:val="18"/>
                <w:szCs w:val="18"/>
                <w:lang w:val="es-MX"/>
              </w:rPr>
              <w:t>.</w:t>
            </w:r>
            <w:r>
              <w:rPr>
                <w:rFonts w:ascii="Arial" w:hAnsi="Arial" w:cs="Arial"/>
                <w:sz w:val="18"/>
                <w:szCs w:val="18"/>
                <w:lang w:val="es-MX"/>
              </w:rPr>
              <w:t xml:space="preserve"> </w:t>
            </w:r>
            <w:r w:rsidRPr="00CD22FD">
              <w:rPr>
                <w:rFonts w:ascii="Arial" w:hAnsi="Arial" w:cs="Arial"/>
                <w:sz w:val="18"/>
                <w:szCs w:val="18"/>
                <w:lang w:val="es-MX"/>
              </w:rPr>
              <w:t xml:space="preserve"> </w:t>
            </w:r>
            <w:r w:rsidRPr="000A6A92">
              <w:rPr>
                <w:rFonts w:ascii="Arial" w:hAnsi="Arial" w:cs="Arial"/>
                <w:sz w:val="18"/>
                <w:szCs w:val="18"/>
                <w:lang w:val="es-MX"/>
              </w:rPr>
              <w:t>C</w:t>
            </w:r>
            <w:r w:rsidRPr="000A6A92">
              <w:rPr>
                <w:rFonts w:ascii="Arial" w:hAnsi="Arial" w:cs="Arial"/>
                <w:sz w:val="18"/>
                <w:szCs w:val="18"/>
                <w:lang w:val="es-MX"/>
              </w:rPr>
              <w:t>a</w:t>
            </w:r>
            <w:r w:rsidRPr="000A6A92">
              <w:rPr>
                <w:rFonts w:ascii="Arial" w:hAnsi="Arial" w:cs="Arial"/>
                <w:sz w:val="18"/>
                <w:szCs w:val="18"/>
                <w:lang w:val="es-MX"/>
              </w:rPr>
              <w:t>da trimestre, Coface publica sus evaluaciones de riesgo país para 160 países, basadas en su conocimiento único del comportamiento de pago de las empresas y la experiencia de sus 350 analistas de riesgos, situados cerca de nuestros clientes y sus deudores.</w:t>
            </w:r>
          </w:p>
          <w:p w:rsidR="00EF4DF9" w:rsidRPr="000A6A92" w:rsidRDefault="00EF4DF9" w:rsidP="00EF4DF9">
            <w:pPr>
              <w:pStyle w:val="Piedepgina"/>
              <w:spacing w:line="200" w:lineRule="exact"/>
              <w:ind w:left="101"/>
              <w:jc w:val="both"/>
              <w:rPr>
                <w:rFonts w:ascii="Arial" w:hAnsi="Arial" w:cs="Arial"/>
                <w:sz w:val="18"/>
                <w:szCs w:val="18"/>
                <w:lang w:val="es-MX"/>
              </w:rPr>
            </w:pPr>
          </w:p>
          <w:p w:rsidR="00EF4DF9" w:rsidRDefault="00EF4DF9" w:rsidP="00EF4DF9">
            <w:pPr>
              <w:pStyle w:val="Piedepgina"/>
              <w:spacing w:line="200" w:lineRule="exact"/>
              <w:ind w:left="101"/>
              <w:jc w:val="both"/>
              <w:rPr>
                <w:rFonts w:ascii="Arial" w:hAnsi="Arial" w:cs="Arial"/>
                <w:sz w:val="18"/>
                <w:szCs w:val="18"/>
                <w:lang w:val="es-MX"/>
              </w:rPr>
            </w:pPr>
            <w:r w:rsidRPr="00392AE4">
              <w:rPr>
                <w:rFonts w:ascii="Arial" w:hAnsi="Arial" w:cs="Arial"/>
                <w:sz w:val="18"/>
                <w:szCs w:val="18"/>
                <w:lang w:val="es-ES"/>
              </w:rPr>
              <w:t>En Francia, Coface gestiona las garantías públicas a la exportación por cuenta del Estado</w:t>
            </w:r>
            <w:r w:rsidRPr="00840220">
              <w:rPr>
                <w:rFonts w:ascii="Arial" w:hAnsi="Arial" w:cs="Arial"/>
                <w:sz w:val="18"/>
                <w:szCs w:val="18"/>
                <w:lang w:val="es-MX"/>
              </w:rPr>
              <w:t xml:space="preserve"> Francés.</w:t>
            </w:r>
          </w:p>
          <w:p w:rsidR="00EF4DF9" w:rsidRDefault="00EF4DF9" w:rsidP="00EF4DF9">
            <w:pPr>
              <w:pStyle w:val="Piedepgina"/>
              <w:spacing w:line="200" w:lineRule="exact"/>
              <w:ind w:left="101"/>
              <w:jc w:val="center"/>
              <w:rPr>
                <w:rFonts w:ascii="Arial" w:hAnsi="Arial" w:cs="Arial"/>
                <w:color w:val="0000FF"/>
                <w:sz w:val="20"/>
                <w:szCs w:val="20"/>
                <w:u w:val="single"/>
              </w:rPr>
            </w:pPr>
            <w:hyperlink r:id="rId9" w:history="1">
              <w:r w:rsidRPr="00E95267">
                <w:rPr>
                  <w:rStyle w:val="Hipervnculo"/>
                  <w:rFonts w:ascii="Arial" w:hAnsi="Arial" w:cs="Arial"/>
                  <w:sz w:val="20"/>
                  <w:szCs w:val="20"/>
                  <w:lang w:val="es-ES"/>
                </w:rPr>
                <w:t>www.coface.com</w:t>
              </w:r>
            </w:hyperlink>
          </w:p>
          <w:p w:rsidR="00EF4DF9" w:rsidRDefault="00EF4DF9" w:rsidP="00EF4DF9">
            <w:pPr>
              <w:pStyle w:val="Piedepgina"/>
              <w:spacing w:line="200" w:lineRule="exact"/>
              <w:ind w:left="101"/>
              <w:jc w:val="center"/>
              <w:rPr>
                <w:rFonts w:ascii="Arial" w:hAnsi="Arial" w:cs="Arial"/>
                <w:color w:val="0000FF"/>
                <w:sz w:val="20"/>
                <w:szCs w:val="20"/>
                <w:u w:val="single"/>
              </w:rPr>
            </w:pPr>
          </w:p>
          <w:p w:rsidR="00EF4DF9" w:rsidRDefault="006D6B2B" w:rsidP="00EF4DF9">
            <w:pPr>
              <w:pStyle w:val="Piedepgina"/>
              <w:spacing w:line="200" w:lineRule="exact"/>
              <w:ind w:left="101"/>
              <w:jc w:val="center"/>
              <w:rPr>
                <w:rFonts w:ascii="Arial" w:hAnsi="Arial" w:cs="Arial"/>
                <w:color w:val="0000FF"/>
                <w:sz w:val="20"/>
                <w:szCs w:val="20"/>
                <w:u w:val="single"/>
              </w:rPr>
            </w:pPr>
            <w:r>
              <w:rPr>
                <w:noProof/>
                <w:lang w:val="es-ES" w:eastAsia="es-ES"/>
              </w:rPr>
              <w:drawing>
                <wp:anchor distT="0" distB="0" distL="114300" distR="114300" simplePos="0" relativeHeight="251658240" behindDoc="0" locked="0" layoutInCell="1" allowOverlap="1">
                  <wp:simplePos x="0" y="0"/>
                  <wp:positionH relativeFrom="column">
                    <wp:posOffset>4382770</wp:posOffset>
                  </wp:positionH>
                  <wp:positionV relativeFrom="paragraph">
                    <wp:posOffset>52070</wp:posOffset>
                  </wp:positionV>
                  <wp:extent cx="535305" cy="509270"/>
                  <wp:effectExtent l="19050" t="0" r="0" b="0"/>
                  <wp:wrapNone/>
                  <wp:docPr id="9" name="Imag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0" cstate="print"/>
                          <a:srcRect/>
                          <a:stretch>
                            <a:fillRect/>
                          </a:stretch>
                        </pic:blipFill>
                        <pic:spPr bwMode="auto">
                          <a:xfrm>
                            <a:off x="0" y="0"/>
                            <a:ext cx="535305" cy="509270"/>
                          </a:xfrm>
                          <a:prstGeom prst="rect">
                            <a:avLst/>
                          </a:prstGeom>
                          <a:noFill/>
                          <a:ln w="9525">
                            <a:noFill/>
                            <a:miter lim="800000"/>
                            <a:headEnd/>
                            <a:tailEnd/>
                          </a:ln>
                        </pic:spPr>
                      </pic:pic>
                    </a:graphicData>
                  </a:graphic>
                </wp:anchor>
              </w:drawing>
            </w:r>
          </w:p>
          <w:p w:rsidR="00EF4DF9" w:rsidRPr="00E95267" w:rsidRDefault="00EF4DF9" w:rsidP="00EF4DF9">
            <w:pPr>
              <w:tabs>
                <w:tab w:val="left" w:pos="8202"/>
              </w:tabs>
              <w:autoSpaceDE w:val="0"/>
              <w:autoSpaceDN w:val="0"/>
              <w:adjustRightInd w:val="0"/>
              <w:ind w:right="1587"/>
              <w:rPr>
                <w:rFonts w:ascii="Arial" w:hAnsi="Arial" w:cs="Arial"/>
                <w:sz w:val="18"/>
                <w:szCs w:val="18"/>
                <w:lang w:val="es-ES"/>
              </w:rPr>
            </w:pPr>
            <w:r w:rsidRPr="00E95267">
              <w:rPr>
                <w:rFonts w:ascii="Arial" w:hAnsi="Arial" w:cs="Arial"/>
                <w:sz w:val="18"/>
                <w:szCs w:val="18"/>
                <w:lang w:val="es-ES"/>
              </w:rPr>
              <w:t xml:space="preserve">                                      Coface SA. está listada en Euronext París – Compar</w:t>
            </w:r>
            <w:r w:rsidRPr="00E95267">
              <w:rPr>
                <w:rFonts w:ascii="Arial" w:hAnsi="Arial" w:cs="Arial"/>
                <w:sz w:val="18"/>
                <w:szCs w:val="18"/>
                <w:lang w:val="es-ES"/>
              </w:rPr>
              <w:t>t</w:t>
            </w:r>
            <w:r w:rsidRPr="00E95267">
              <w:rPr>
                <w:rFonts w:ascii="Arial" w:hAnsi="Arial" w:cs="Arial"/>
                <w:sz w:val="18"/>
                <w:szCs w:val="18"/>
                <w:lang w:val="es-ES"/>
              </w:rPr>
              <w:t>ment A</w:t>
            </w:r>
          </w:p>
          <w:p w:rsidR="00EF4DF9" w:rsidRDefault="00EF4DF9" w:rsidP="00EF4DF9">
            <w:pPr>
              <w:pStyle w:val="Piedepgina"/>
              <w:spacing w:line="200" w:lineRule="exact"/>
              <w:ind w:left="101"/>
              <w:rPr>
                <w:rFonts w:ascii="Arial" w:hAnsi="Arial" w:cs="Arial"/>
                <w:color w:val="0000FF"/>
                <w:sz w:val="20"/>
                <w:szCs w:val="20"/>
                <w:u w:val="single"/>
              </w:rPr>
            </w:pPr>
            <w:r>
              <w:rPr>
                <w:rFonts w:ascii="Arial" w:hAnsi="Arial" w:cs="Arial"/>
                <w:sz w:val="18"/>
                <w:szCs w:val="18"/>
              </w:rPr>
              <w:t xml:space="preserve">                                                                     ISIN: FR0010667147 / Ticker: COFA</w:t>
            </w:r>
          </w:p>
          <w:p w:rsidR="003D0969" w:rsidRPr="004B33BE" w:rsidRDefault="003D0969" w:rsidP="003D0969">
            <w:pPr>
              <w:outlineLvl w:val="0"/>
              <w:rPr>
                <w:rFonts w:ascii="Arial" w:eastAsia="Arial Unicode MS" w:hAnsi="Arial" w:cs="Arial"/>
                <w:b/>
                <w:bCs/>
                <w:color w:val="000000"/>
                <w:sz w:val="20"/>
                <w:szCs w:val="20"/>
                <w:u w:color="000000"/>
              </w:rPr>
            </w:pPr>
          </w:p>
          <w:tbl>
            <w:tblPr>
              <w:tblW w:w="8540" w:type="dxa"/>
              <w:jc w:val="center"/>
              <w:tblLayout w:type="fixed"/>
              <w:tblCellMar>
                <w:left w:w="0" w:type="dxa"/>
                <w:right w:w="0" w:type="dxa"/>
              </w:tblCellMar>
              <w:tblLook w:val="00A0"/>
            </w:tblPr>
            <w:tblGrid>
              <w:gridCol w:w="8540"/>
            </w:tblGrid>
            <w:tr w:rsidR="003D0969" w:rsidRPr="00970D91">
              <w:trPr>
                <w:trHeight w:val="220"/>
                <w:jc w:val="center"/>
              </w:trPr>
              <w:tc>
                <w:tcPr>
                  <w:tcW w:w="8540" w:type="dxa"/>
                  <w:shd w:val="clear" w:color="auto" w:fill="E9EDF4"/>
                </w:tcPr>
                <w:p w:rsidR="003D0969" w:rsidRPr="00D70ECE" w:rsidRDefault="003D0969" w:rsidP="00933D91">
                  <w:pPr>
                    <w:spacing w:before="60" w:after="60" w:line="240" w:lineRule="atLeast"/>
                    <w:ind w:right="113"/>
                    <w:jc w:val="center"/>
                    <w:rPr>
                      <w:rFonts w:ascii="Arial" w:hAnsi="Arial" w:cs="Arial"/>
                      <w:color w:val="0000FF"/>
                      <w:sz w:val="18"/>
                      <w:szCs w:val="18"/>
                      <w:u w:val="single"/>
                      <w:lang w:val="en-US"/>
                    </w:rPr>
                  </w:pPr>
                </w:p>
                <w:p w:rsidR="003D0969" w:rsidRPr="00970D91" w:rsidRDefault="003D0969" w:rsidP="00EF4DF9">
                  <w:pPr>
                    <w:tabs>
                      <w:tab w:val="left" w:pos="8202"/>
                    </w:tabs>
                    <w:autoSpaceDE w:val="0"/>
                    <w:autoSpaceDN w:val="0"/>
                    <w:adjustRightInd w:val="0"/>
                    <w:spacing w:line="240" w:lineRule="atLeast"/>
                    <w:ind w:left="348" w:right="1587"/>
                    <w:jc w:val="right"/>
                    <w:rPr>
                      <w:rFonts w:ascii="Arial" w:hAnsi="Arial" w:cs="Arial"/>
                      <w:sz w:val="18"/>
                      <w:szCs w:val="18"/>
                      <w:u w:val="single"/>
                    </w:rPr>
                  </w:pPr>
                </w:p>
              </w:tc>
            </w:tr>
          </w:tbl>
          <w:p w:rsidR="005E190C" w:rsidRDefault="005E190C">
            <w:pPr>
              <w:spacing w:before="60" w:after="60"/>
              <w:ind w:right="113"/>
              <w:jc w:val="center"/>
              <w:rPr>
                <w:rFonts w:ascii="Arial" w:hAnsi="Arial" w:cs="Arial"/>
                <w:sz w:val="18"/>
                <w:szCs w:val="18"/>
                <w:u w:val="single"/>
                <w:lang w:val="fr-FR"/>
              </w:rPr>
            </w:pPr>
          </w:p>
        </w:tc>
      </w:tr>
    </w:tbl>
    <w:p w:rsidR="003A2E50" w:rsidRDefault="003A2E50" w:rsidP="003A2E50">
      <w:pPr>
        <w:suppressAutoHyphens/>
        <w:autoSpaceDE w:val="0"/>
        <w:autoSpaceDN w:val="0"/>
        <w:adjustRightInd w:val="0"/>
        <w:spacing w:line="270" w:lineRule="exact"/>
        <w:jc w:val="center"/>
        <w:rPr>
          <w:rFonts w:ascii="Arial" w:hAnsi="Arial" w:cs="Arial"/>
          <w:b/>
          <w:noProof/>
          <w:color w:val="002060"/>
          <w:sz w:val="28"/>
          <w:szCs w:val="28"/>
        </w:rPr>
      </w:pPr>
    </w:p>
    <w:p w:rsidR="005E190C" w:rsidRDefault="006D6B2B" w:rsidP="00E02B9E">
      <w:pPr>
        <w:suppressAutoHyphens/>
        <w:autoSpaceDE w:val="0"/>
        <w:autoSpaceDN w:val="0"/>
        <w:adjustRightInd w:val="0"/>
        <w:spacing w:line="270" w:lineRule="exact"/>
        <w:jc w:val="center"/>
        <w:rPr>
          <w:rFonts w:ascii="Arial" w:hAnsi="Arial" w:cs="Arial"/>
          <w:color w:val="000000"/>
        </w:rPr>
      </w:pPr>
      <w:r>
        <w:rPr>
          <w:noProof/>
          <w:lang w:val="es-ES" w:eastAsia="es-ES"/>
        </w:rPr>
        <w:drawing>
          <wp:anchor distT="0" distB="0" distL="114300" distR="114300" simplePos="0" relativeHeight="251657216" behindDoc="0" locked="0" layoutInCell="1" allowOverlap="1">
            <wp:simplePos x="0" y="0"/>
            <wp:positionH relativeFrom="column">
              <wp:posOffset>201295</wp:posOffset>
            </wp:positionH>
            <wp:positionV relativeFrom="paragraph">
              <wp:posOffset>197485</wp:posOffset>
            </wp:positionV>
            <wp:extent cx="5067300" cy="3606165"/>
            <wp:effectExtent l="19050" t="0" r="0" b="0"/>
            <wp:wrapTopAndBottom/>
            <wp:docPr id="8" name="Imagen 8"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2"/>
                    <pic:cNvPicPr>
                      <a:picLocks noChangeAspect="1" noChangeArrowheads="1"/>
                    </pic:cNvPicPr>
                  </pic:nvPicPr>
                  <pic:blipFill>
                    <a:blip r:embed="rId11" cstate="print"/>
                    <a:srcRect/>
                    <a:stretch>
                      <a:fillRect/>
                    </a:stretch>
                  </pic:blipFill>
                  <pic:spPr bwMode="auto">
                    <a:xfrm>
                      <a:off x="0" y="0"/>
                      <a:ext cx="5067300" cy="3606165"/>
                    </a:xfrm>
                    <a:prstGeom prst="rect">
                      <a:avLst/>
                    </a:prstGeom>
                    <a:noFill/>
                    <a:ln w="9525">
                      <a:noFill/>
                      <a:miter lim="800000"/>
                      <a:headEnd/>
                      <a:tailEnd/>
                    </a:ln>
                  </pic:spPr>
                </pic:pic>
              </a:graphicData>
            </a:graphic>
          </wp:anchor>
        </w:drawing>
      </w:r>
      <w:r w:rsidR="003A2E50" w:rsidRPr="000D41AC">
        <w:rPr>
          <w:rFonts w:ascii="Arial" w:hAnsi="Arial" w:cs="Arial"/>
          <w:b/>
          <w:noProof/>
          <w:color w:val="002060"/>
          <w:sz w:val="28"/>
          <w:szCs w:val="28"/>
        </w:rPr>
        <w:t>AP</w:t>
      </w:r>
      <w:r w:rsidR="00E02B9E">
        <w:rPr>
          <w:rFonts w:ascii="Arial" w:hAnsi="Arial" w:cs="Arial"/>
          <w:b/>
          <w:noProof/>
          <w:color w:val="002060"/>
          <w:sz w:val="28"/>
          <w:szCs w:val="28"/>
        </w:rPr>
        <w:t>ÉNDICE</w:t>
      </w:r>
    </w:p>
    <w:sectPr w:rsidR="005E190C" w:rsidSect="00DF315D">
      <w:headerReference w:type="default" r:id="rId12"/>
      <w:footerReference w:type="default" r:id="rId13"/>
      <w:footnotePr>
        <w:pos w:val="beneathText"/>
      </w:footnotePr>
      <w:pgSz w:w="12240" w:h="15840" w:code="1"/>
      <w:pgMar w:top="3118" w:right="1361" w:bottom="900" w:left="2155" w:header="3062"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8B" w:rsidRDefault="00297D8B">
      <w:r>
        <w:separator/>
      </w:r>
    </w:p>
  </w:endnote>
  <w:endnote w:type="continuationSeparator" w:id="0">
    <w:p w:rsidR="00297D8B" w:rsidRDefault="00297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ITCLegacySansLTBookRegular">
    <w:altName w:val="Times New Roman"/>
    <w:charset w:val="00"/>
    <w:family w:val="auto"/>
    <w:pitch w:val="default"/>
    <w:sig w:usb0="00000000" w:usb1="00000000" w:usb2="00000000" w:usb3="00000000" w:csb0="0000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0C" w:rsidRDefault="005E190C">
    <w:pPr>
      <w:pStyle w:val="Piedepgina"/>
      <w:ind w:right="360"/>
    </w:pPr>
    <w:r>
      <w:rPr>
        <w:noProof/>
        <w:lang w:eastAsia="fr-FR"/>
      </w:rPr>
      <w:pict>
        <v:shapetype id="_x0000_t202" coordsize="21600,21600" o:spt="202" path="m,l,21600r21600,l21600,xe">
          <v:stroke joinstyle="miter"/>
          <v:path gradientshapeok="t" o:connecttype="rect"/>
        </v:shapetype>
        <v:shape id="Text Box 1" o:spid="_x0000_s2051" type="#_x0000_t202" style="position:absolute;margin-left:520.9pt;margin-top:.05pt;width:6pt;height:13.75pt;z-index:251656704;visibility:visible;mso-wrap-distance-left:0;mso-wrap-distance-right:0;mso-position-horizontal-relative:page" stroked="f">
          <v:fill opacity="0"/>
          <v:textbox inset="0,0,0,0">
            <w:txbxContent>
              <w:p w:rsidR="005E190C" w:rsidRDefault="005E190C">
                <w:pPr>
                  <w:pStyle w:val="Piedepgina"/>
                  <w:rPr>
                    <w:rFonts w:ascii="Arial" w:hAnsi="Arial" w:cs="Arial"/>
                    <w:sz w:val="18"/>
                    <w:szCs w:val="20"/>
                  </w:rPr>
                </w:pPr>
                <w:r>
                  <w:rPr>
                    <w:rStyle w:val="Nmerodepgina"/>
                    <w:rFonts w:ascii="Arial" w:hAnsi="Arial" w:cs="Arial"/>
                    <w:sz w:val="18"/>
                    <w:szCs w:val="20"/>
                  </w:rPr>
                  <w:fldChar w:fldCharType="begin"/>
                </w:r>
                <w:r>
                  <w:rPr>
                    <w:rStyle w:val="Nmerodepgina"/>
                    <w:rFonts w:ascii="Arial" w:hAnsi="Arial" w:cs="Arial"/>
                    <w:sz w:val="18"/>
                    <w:szCs w:val="20"/>
                  </w:rPr>
                  <w:instrText xml:space="preserve"> PAGE </w:instrText>
                </w:r>
                <w:r>
                  <w:rPr>
                    <w:rStyle w:val="Nmerodepgina"/>
                    <w:rFonts w:ascii="Arial" w:hAnsi="Arial" w:cs="Arial"/>
                    <w:sz w:val="18"/>
                    <w:szCs w:val="20"/>
                  </w:rPr>
                  <w:fldChar w:fldCharType="separate"/>
                </w:r>
                <w:r w:rsidR="006D6B2B">
                  <w:rPr>
                    <w:rStyle w:val="Nmerodepgina"/>
                    <w:rFonts w:ascii="Arial" w:hAnsi="Arial" w:cs="Arial"/>
                    <w:noProof/>
                    <w:sz w:val="18"/>
                    <w:szCs w:val="20"/>
                  </w:rPr>
                  <w:t>1</w:t>
                </w:r>
                <w:r>
                  <w:rPr>
                    <w:rStyle w:val="Nmerodepgina"/>
                    <w:rFonts w:ascii="Arial" w:hAnsi="Arial" w:cs="Arial"/>
                    <w:sz w:val="18"/>
                    <w:szCs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8B" w:rsidRDefault="00297D8B">
      <w:r>
        <w:separator/>
      </w:r>
    </w:p>
  </w:footnote>
  <w:footnote w:type="continuationSeparator" w:id="0">
    <w:p w:rsidR="00297D8B" w:rsidRDefault="00297D8B">
      <w:r>
        <w:continuationSeparator/>
      </w:r>
    </w:p>
  </w:footnote>
  <w:footnote w:id="1">
    <w:p w:rsidR="005E190C" w:rsidRDefault="005E190C">
      <w:pPr>
        <w:pStyle w:val="Textonotapie"/>
      </w:pPr>
      <w:r>
        <w:rPr>
          <w:rStyle w:val="Refdenotaalpie"/>
        </w:rPr>
        <w:footnoteRef/>
      </w:r>
      <w:r>
        <w:t xml:space="preserve"> </w:t>
      </w:r>
      <w:r w:rsidR="00C520E7">
        <w:t>Fuente</w:t>
      </w:r>
      <w:r>
        <w:rPr>
          <w:rFonts w:ascii="Arial" w:hAnsi="Arial" w:cs="Arial"/>
          <w:sz w:val="16"/>
          <w:szCs w:val="16"/>
        </w:rPr>
        <w:t xml:space="preserve">: </w:t>
      </w:r>
      <w:r>
        <w:rPr>
          <w:rFonts w:ascii="Arial" w:eastAsia="PMingLiU" w:hAnsi="Arial" w:cs="Arial"/>
          <w:color w:val="000000"/>
          <w:sz w:val="16"/>
          <w:szCs w:val="16"/>
          <w:lang w:eastAsia="fr-FR"/>
        </w:rPr>
        <w:t>ICAC</w:t>
      </w:r>
      <w:r w:rsidR="00C520E7">
        <w:rPr>
          <w:rFonts w:ascii="Arial" w:eastAsia="PMingLiU" w:hAnsi="Arial" w:cs="Arial"/>
          <w:color w:val="000000"/>
          <w:sz w:val="16"/>
          <w:szCs w:val="16"/>
          <w:lang w:eastAsia="fr-FR"/>
        </w:rPr>
        <w:t xml:space="preserve"> (International Cotton Advisory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0C" w:rsidRDefault="003D0969">
    <w:pPr>
      <w:pStyle w:val="Encabezado"/>
      <w:rPr>
        <w:lang w:val="en-US"/>
      </w:rPr>
    </w:pPr>
    <w:r>
      <w:rPr>
        <w:noProof/>
        <w:lang w:val="fr-FR" w:eastAsia="fr-FR"/>
      </w:rPr>
      <w:pict>
        <v:shapetype id="_x0000_t202" coordsize="21600,21600" o:spt="202" path="m,l,21600r21600,l21600,xe">
          <v:stroke joinstyle="miter"/>
          <v:path gradientshapeok="t" o:connecttype="rect"/>
        </v:shapetype>
        <v:shape id="_x0000_s2054" type="#_x0000_t202" style="position:absolute;margin-left:-.1pt;margin-top:112.4pt;width:453.15pt;height:26pt;z-index:-251657728;mso-wrap-distance-left:9.05pt;mso-wrap-distance-right:9.05pt;mso-position-vertical-relative:page" stroked="f">
          <v:fill opacity="0" color2="black"/>
          <v:textbox style="mso-next-textbox:#_x0000_s2054" inset="0,0,0,0">
            <w:txbxContent>
              <w:p w:rsidR="003D0969" w:rsidRPr="00EA4A78" w:rsidRDefault="003D0969" w:rsidP="003D0969">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w:t>
                </w:r>
                <w:r w:rsidRPr="00EA4A78">
                  <w:rPr>
                    <w:rFonts w:ascii="Arial" w:hAnsi="Arial" w:cs="Arial"/>
                    <w:b/>
                    <w:bCs/>
                    <w:color w:val="4FA76E"/>
                    <w:spacing w:val="518"/>
                    <w:sz w:val="26"/>
                    <w:szCs w:val="26"/>
                  </w:rPr>
                  <w:t>E</w:t>
                </w:r>
                <w:r w:rsidRPr="00EA4A78">
                  <w:rPr>
                    <w:rFonts w:ascii="Arial" w:hAnsi="Arial" w:cs="Arial"/>
                    <w:b/>
                    <w:bCs/>
                    <w:color w:val="4FA76E"/>
                    <w:spacing w:val="518"/>
                    <w:sz w:val="26"/>
                    <w:szCs w:val="26"/>
                  </w:rPr>
                  <w:t>LEASE</w:t>
                </w:r>
              </w:p>
            </w:txbxContent>
          </v:textbox>
        </v:shape>
      </w:pict>
    </w:r>
    <w:r w:rsidR="006D6B2B">
      <w:rPr>
        <w:noProof/>
        <w:lang w:val="es-ES" w:eastAsia="es-ES"/>
      </w:rPr>
      <w:drawing>
        <wp:anchor distT="0" distB="0" distL="114935" distR="114935" simplePos="0" relativeHeight="251657728" behindDoc="1" locked="0" layoutInCell="1" allowOverlap="1">
          <wp:simplePos x="0" y="0"/>
          <wp:positionH relativeFrom="column">
            <wp:posOffset>-458470</wp:posOffset>
          </wp:positionH>
          <wp:positionV relativeFrom="page">
            <wp:posOffset>585470</wp:posOffset>
          </wp:positionV>
          <wp:extent cx="5761990" cy="1315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1990" cy="13157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hybridMultilevel"/>
    <w:tmpl w:val="00000002"/>
    <w:name w:val="WW8Num5"/>
    <w:lvl w:ilvl="0" w:tplc="9DEA9B62">
      <w:start w:val="1"/>
      <w:numFmt w:val="bullet"/>
      <w:lvlText w:val=""/>
      <w:lvlJc w:val="left"/>
      <w:pPr>
        <w:tabs>
          <w:tab w:val="num" w:pos="792"/>
        </w:tabs>
        <w:ind w:left="792" w:hanging="360"/>
      </w:pPr>
      <w:rPr>
        <w:rFonts w:ascii="Symbol" w:hAnsi="Symbol"/>
        <w:color w:val="auto"/>
        <w:w w:val="100"/>
      </w:rPr>
    </w:lvl>
    <w:lvl w:ilvl="1" w:tplc="6708052A">
      <w:start w:val="1"/>
      <w:numFmt w:val="lowerLetter"/>
      <w:lvlText w:val="%2."/>
      <w:lvlJc w:val="left"/>
      <w:pPr>
        <w:ind w:left="1440" w:hanging="360"/>
      </w:pPr>
      <w:rPr>
        <w:rFonts w:cs="Times New Roman"/>
      </w:rPr>
    </w:lvl>
    <w:lvl w:ilvl="2" w:tplc="97088F38">
      <w:start w:val="1"/>
      <w:numFmt w:val="lowerRoman"/>
      <w:lvlText w:val="%3."/>
      <w:lvlJc w:val="right"/>
      <w:pPr>
        <w:ind w:left="2160" w:hanging="180"/>
      </w:pPr>
      <w:rPr>
        <w:rFonts w:cs="Times New Roman"/>
      </w:rPr>
    </w:lvl>
    <w:lvl w:ilvl="3" w:tplc="FA88ED36">
      <w:start w:val="1"/>
      <w:numFmt w:val="decimal"/>
      <w:lvlText w:val="%4."/>
      <w:lvlJc w:val="left"/>
      <w:pPr>
        <w:ind w:left="2880" w:hanging="360"/>
      </w:pPr>
      <w:rPr>
        <w:rFonts w:cs="Times New Roman"/>
      </w:rPr>
    </w:lvl>
    <w:lvl w:ilvl="4" w:tplc="AFC83F9C">
      <w:start w:val="1"/>
      <w:numFmt w:val="lowerLetter"/>
      <w:lvlText w:val="%5."/>
      <w:lvlJc w:val="left"/>
      <w:pPr>
        <w:ind w:left="3600" w:hanging="360"/>
      </w:pPr>
      <w:rPr>
        <w:rFonts w:cs="Times New Roman"/>
      </w:rPr>
    </w:lvl>
    <w:lvl w:ilvl="5" w:tplc="8EC8F160">
      <w:start w:val="1"/>
      <w:numFmt w:val="lowerRoman"/>
      <w:lvlText w:val="%6."/>
      <w:lvlJc w:val="right"/>
      <w:pPr>
        <w:ind w:left="4320" w:hanging="180"/>
      </w:pPr>
      <w:rPr>
        <w:rFonts w:cs="Times New Roman"/>
      </w:rPr>
    </w:lvl>
    <w:lvl w:ilvl="6" w:tplc="9B8E1DE6">
      <w:start w:val="1"/>
      <w:numFmt w:val="decimal"/>
      <w:lvlText w:val="%7."/>
      <w:lvlJc w:val="left"/>
      <w:pPr>
        <w:ind w:left="5040" w:hanging="360"/>
      </w:pPr>
      <w:rPr>
        <w:rFonts w:cs="Times New Roman"/>
      </w:rPr>
    </w:lvl>
    <w:lvl w:ilvl="7" w:tplc="57C0EED8">
      <w:start w:val="1"/>
      <w:numFmt w:val="lowerLetter"/>
      <w:lvlText w:val="%8."/>
      <w:lvlJc w:val="left"/>
      <w:pPr>
        <w:ind w:left="5760" w:hanging="360"/>
      </w:pPr>
      <w:rPr>
        <w:rFonts w:cs="Times New Roman"/>
      </w:rPr>
    </w:lvl>
    <w:lvl w:ilvl="8" w:tplc="52DAEC9E">
      <w:start w:val="1"/>
      <w:numFmt w:val="lowerRoman"/>
      <w:lvlText w:val="%9."/>
      <w:lvlJc w:val="right"/>
      <w:pPr>
        <w:ind w:left="6480" w:hanging="180"/>
      </w:pPr>
      <w:rPr>
        <w:rFonts w:cs="Times New Roman"/>
      </w:r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1B83367C"/>
    <w:multiLevelType w:val="hybridMultilevel"/>
    <w:tmpl w:val="B4CC63AC"/>
    <w:lvl w:ilvl="0" w:tplc="A2AE6B64">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8A4909"/>
    <w:multiLevelType w:val="hybridMultilevel"/>
    <w:tmpl w:val="4920CFDA"/>
    <w:lvl w:ilvl="0" w:tplc="A2AE6B64">
      <w:start w:val="1"/>
      <w:numFmt w:val="bullet"/>
      <w:lvlText w:val=""/>
      <w:lvlJc w:val="left"/>
      <w:pPr>
        <w:ind w:left="720" w:hanging="360"/>
      </w:pPr>
      <w:rPr>
        <w:rFonts w:ascii="Symbol" w:hAnsi="Symbol" w:hint="default"/>
        <w:color w:val="00B05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5B0906"/>
    <w:multiLevelType w:val="hybridMultilevel"/>
    <w:tmpl w:val="C9265ED4"/>
    <w:lvl w:ilvl="0" w:tplc="00000002">
      <w:start w:val="1"/>
      <w:numFmt w:val="bullet"/>
      <w:lvlText w:val=""/>
      <w:lvlJc w:val="left"/>
      <w:pPr>
        <w:ind w:left="720" w:hanging="360"/>
      </w:pPr>
      <w:rPr>
        <w:rFonts w:ascii="Symbol" w:hAnsi="Symbol"/>
        <w:color w:val="auto"/>
        <w:w w:val="1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1A60144"/>
    <w:multiLevelType w:val="hybridMultilevel"/>
    <w:tmpl w:val="9D7ADC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602C487F"/>
    <w:multiLevelType w:val="hybridMultilevel"/>
    <w:tmpl w:val="5902FAF0"/>
    <w:lvl w:ilvl="0" w:tplc="5B206F1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BF15BD"/>
    <w:multiLevelType w:val="hybridMultilevel"/>
    <w:tmpl w:val="021C5D38"/>
    <w:lvl w:ilvl="0" w:tplc="91748D98">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10"/>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useFELayout/>
  </w:compat>
  <w:docVars>
    <w:docVar w:name="dgnword-docGUID" w:val="{CA350AC8-568E-421C-BD39-D38DE76BC38B}"/>
    <w:docVar w:name="dgnword-eventsink" w:val="125352096"/>
    <w:docVar w:name="OG" w:val="1110"/>
    <w:docVar w:name="WfJumps" w:val="no"/>
    <w:docVar w:name="WfLastSegment" w:val=" 8234"/>
    <w:docVar w:name="WfRevTM" w:val="c:\users\public\documents\paul pc\technicis finance\11 november\coface 214110480\Coface Fr-En.Txt"/>
    <w:docVar w:name="WfStyleNames" w:val=",apple-converted-space,Balloon Text,Balloon Text Char,Block Text,Body 1,Body Text,Body Text 2,Body Text 3,Body Text Char,Body Text First Indent,Body Text First Indent 2,Body Text Indent,Body Text Indent 2,Body Text Indent 3,Caption,Car Car,Car Car1,Car Car2,Caractères de note de bas de page,Closing,Comment Reference,Comment Subject,Comment Subject Char,Comment Text,Comment Text Char,Contenu de tableau,Contenu du cadre,Date,Default,Default Paragraph Font,Document Map,E-mail Signature,Emphasis,Endnote Reference,Endnote Text,Envelope Address,Envelope Return,FollowedHyperlink,Footer,Footer Char,Footnote Reference,Footnote Text,Footnote Text Char,Header,Header Char,Heading 1,Heading 2,Heading 3,Heading 3 Char,Heading 4,Heading 5,Heading 6,Heading 7,Heading 8,Heading 9,hps,HTML Acronym,HTML Address,HTML Cite,HTML Code,HTML Definition,HTML Keyboard,HTML Preformatted,HTML Preformatted Char,HTML Sample,HTML Typewriter,HTML Variable,Hyperlink,Index 1,Index 2,Index 3,Index 4,Index 5,Index 6,Index 7,Index 8,Index 9,Index Heading,Légende1,Line Number,List,List 2,List 3,List 4,List 5,List Bullet,List Bullet 2,List Bullet 3,List Bullet 4,List Bullet 5,List Continue,List Continue 2,List Continue 3,List Continue 4,List Continue 5,List Number,List Number 2,List Number 3,List Number 4,List Number 5,List Paragraph,Macro Text,Message Header,Normal,Normal (Web),Normal Indent,Note Heading,Page Number,Pied de page Car,Plain Text,Police par défaut1,Répertoire,Salutation,Signature,st,st1,Strong,Subtitle,Table of Authorities,Table of Figures,Texte contact,Texte de saisie,textecontact,Texto de nota de rodapé Char,Title,Titre contact,Titre de tableau,Titre1,TOA Heading,TOC 1,TOC 2,TOC 3,TOC 4,TOC 5,TOC 6,TOC 7,TOC 8,TOC 9,tw4winMark,WW8Num11z0,WW8Num11z1,WW8Num11z2,WW8Num11z3,WW8Num11z4,WW8Num11z5,WW8Num12z0,WW8Num12z1,WW8Num12z2,WW8Num12z3,WW8Num1z0,WW8Num1z1,WW8Num1z2,WW8Num1z3,WW8Num2z0,WW8Num2z1,WW8Num2z2,WW8Num2z3,WW8Num2z4,WW8Num2z5,WW8Num3z0,WW8Num3z1,WW8Num3z2,WW8Num4z0,WW8Num4z1,WW8Num4z2,WW8Num4z3,WW8Num4z4,WW8Num4z5,WW8Num5z0,WW8Num5z1,WW8Num5z2,WW8Num5z3,WW8Num6z0,WW8Num6z1,WW8Num6z2,WW8Num6z3,WW8Num7z0,WW8Num7z1,WW8Num7z2,WW8Num7z3,WW8Num7z4,WW8Num7z5,WW8Num8z0,WW8Num8z1,WW8Num8z2,WW8Num9z0,WW8Num9z1,WW8Num9z2,WW8Num9z3,WW8Num9z4,WW8Num9z5,yiv9357918943msonormal,"/>
    <w:docVar w:name="WfStyles" w:val="192"/>
    <w:docVar w:name="WfTags" w:val="no00"/>
    <w:docVar w:name="WfWarned" w:val="X"/>
  </w:docVars>
  <w:rsids>
    <w:rsidRoot w:val="004C054E"/>
    <w:rsid w:val="0000398A"/>
    <w:rsid w:val="001418AE"/>
    <w:rsid w:val="001763BE"/>
    <w:rsid w:val="001B1C73"/>
    <w:rsid w:val="00297D8B"/>
    <w:rsid w:val="00351860"/>
    <w:rsid w:val="003A2E50"/>
    <w:rsid w:val="003A4DB7"/>
    <w:rsid w:val="003D0969"/>
    <w:rsid w:val="003D5D8F"/>
    <w:rsid w:val="0047430E"/>
    <w:rsid w:val="004C054E"/>
    <w:rsid w:val="004F4D24"/>
    <w:rsid w:val="00537804"/>
    <w:rsid w:val="005653CB"/>
    <w:rsid w:val="0059487E"/>
    <w:rsid w:val="005961E3"/>
    <w:rsid w:val="005D1112"/>
    <w:rsid w:val="005E190C"/>
    <w:rsid w:val="005F4D8B"/>
    <w:rsid w:val="006D6B2B"/>
    <w:rsid w:val="007764A4"/>
    <w:rsid w:val="007878A5"/>
    <w:rsid w:val="00795947"/>
    <w:rsid w:val="007F4A0D"/>
    <w:rsid w:val="00860F06"/>
    <w:rsid w:val="00933D91"/>
    <w:rsid w:val="00934478"/>
    <w:rsid w:val="009448FA"/>
    <w:rsid w:val="00A6616D"/>
    <w:rsid w:val="00A66E5B"/>
    <w:rsid w:val="00AA41CA"/>
    <w:rsid w:val="00AB13CA"/>
    <w:rsid w:val="00B02E8D"/>
    <w:rsid w:val="00B86181"/>
    <w:rsid w:val="00BF5ED5"/>
    <w:rsid w:val="00C520E7"/>
    <w:rsid w:val="00C96D5F"/>
    <w:rsid w:val="00CE2005"/>
    <w:rsid w:val="00D358BE"/>
    <w:rsid w:val="00DA3B4C"/>
    <w:rsid w:val="00DF315D"/>
    <w:rsid w:val="00E02B9E"/>
    <w:rsid w:val="00EB4351"/>
    <w:rsid w:val="00EF4DF9"/>
    <w:rsid w:val="00F31ED6"/>
    <w:rsid w:val="00F543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eastAsia="MS Mincho" w:hAnsi="Cambria" w:cs="Cambria"/>
      <w:sz w:val="24"/>
      <w:szCs w:val="24"/>
      <w:lang w:val="en-GB" w:eastAsia="ar-SA"/>
    </w:rPr>
  </w:style>
  <w:style w:type="paragraph" w:styleId="Ttulo1">
    <w:name w:val="heading 1"/>
    <w:basedOn w:val="Normal"/>
    <w:next w:val="Normal"/>
    <w:qFormat/>
    <w:pPr>
      <w:keepNext/>
      <w:spacing w:line="270" w:lineRule="exact"/>
      <w:jc w:val="center"/>
      <w:outlineLvl w:val="0"/>
    </w:pPr>
    <w:rPr>
      <w:rFonts w:ascii="Arial" w:hAnsi="Arial" w:cs="Arial"/>
      <w:b/>
      <w:bCs/>
      <w:color w:val="4FA76E"/>
      <w:spacing w:val="260"/>
      <w:sz w:val="26"/>
      <w:szCs w:val="26"/>
    </w:rPr>
  </w:style>
  <w:style w:type="paragraph" w:styleId="Ttulo3">
    <w:name w:val="heading 3"/>
    <w:basedOn w:val="Normal"/>
    <w:next w:val="Textoindependiente"/>
    <w:qFormat/>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3Char">
    <w:name w:val="Heading 3 Char"/>
    <w:semiHidden/>
    <w:locked/>
    <w:rPr>
      <w:rFonts w:ascii="Cambria" w:hAnsi="Cambria" w:cs="Times New Roman"/>
      <w:b/>
      <w:bCs/>
      <w:sz w:val="26"/>
      <w:szCs w:val="26"/>
      <w:lang w:val="en-GB" w:eastAsia="ar-SA" w:bidi="ar-SA"/>
    </w:rPr>
  </w:style>
  <w:style w:type="character" w:customStyle="1" w:styleId="WW8Num1z0">
    <w:name w:val="WW8Num1z0"/>
    <w:rPr>
      <w:rFonts w:ascii="Times New Roman" w:eastAsia="MS Mincho"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000080"/>
    </w:rPr>
  </w:style>
  <w:style w:type="character" w:customStyle="1" w:styleId="WW8Num2z1">
    <w:name w:val="WW8Num2z1"/>
    <w:rPr>
      <w:rFonts w:ascii="Wingdings" w:hAnsi="Wingdings"/>
      <w:color w:val="000080"/>
    </w:rPr>
  </w:style>
  <w:style w:type="character" w:customStyle="1" w:styleId="WW8Num2z2">
    <w:name w:val="WW8Num2z2"/>
    <w:rPr>
      <w:rFonts w:ascii="Arial" w:eastAsia="MS Mincho" w:hAnsi="Arial"/>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2z5">
    <w:name w:val="WW8Num2z5"/>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color w:val="000080"/>
    </w:rPr>
  </w:style>
  <w:style w:type="character" w:customStyle="1" w:styleId="WW8Num4z1">
    <w:name w:val="WW8Num4z1"/>
    <w:rPr>
      <w:rFonts w:ascii="Courier New" w:hAnsi="Courier New"/>
      <w:color w:val="000080"/>
    </w:rPr>
  </w:style>
  <w:style w:type="character" w:customStyle="1" w:styleId="WW8Num4z2">
    <w:name w:val="WW8Num4z2"/>
    <w:rPr>
      <w:rFonts w:ascii="Arial" w:eastAsia="MS Mincho" w:hAnsi="Arial"/>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4z5">
    <w:name w:val="WW8Num4z5"/>
    <w:rPr>
      <w:rFonts w:ascii="Wingdings" w:hAnsi="Wingdings"/>
    </w:rPr>
  </w:style>
  <w:style w:type="character" w:customStyle="1" w:styleId="WW8Num5z0">
    <w:name w:val="WW8Num5z0"/>
    <w:rPr>
      <w:rFonts w:ascii="Symbol" w:hAnsi="Symbol"/>
      <w:color w:val="auto"/>
      <w:w w:val="10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auto"/>
      <w:w w:val="10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000080"/>
    </w:rPr>
  </w:style>
  <w:style w:type="character" w:customStyle="1" w:styleId="WW8Num7z1">
    <w:name w:val="WW8Num7z1"/>
    <w:rPr>
      <w:rFonts w:ascii="Wingdings" w:hAnsi="Wingdings"/>
      <w:color w:val="000080"/>
    </w:rPr>
  </w:style>
  <w:style w:type="character" w:customStyle="1" w:styleId="WW8Num7z2">
    <w:name w:val="WW8Num7z2"/>
    <w:rPr>
      <w:rFonts w:ascii="Arial" w:eastAsia="MS Mincho" w:hAnsi="Arial"/>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7z5">
    <w:name w:val="WW8Num7z5"/>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color w:val="000080"/>
    </w:rPr>
  </w:style>
  <w:style w:type="character" w:customStyle="1" w:styleId="WW8Num9z1">
    <w:name w:val="WW8Num9z1"/>
    <w:rPr>
      <w:rFonts w:ascii="Wingdings" w:hAnsi="Wingdings"/>
      <w:color w:val="auto"/>
    </w:rPr>
  </w:style>
  <w:style w:type="character" w:customStyle="1" w:styleId="WW8Num9z2">
    <w:name w:val="WW8Num9z2"/>
    <w:rPr>
      <w:rFonts w:ascii="Arial" w:eastAsia="MS Mincho" w:hAnsi="Arial"/>
    </w:rPr>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9z5">
    <w:name w:val="WW8Num9z5"/>
    <w:rPr>
      <w:rFonts w:ascii="Wingdings" w:hAnsi="Wingdings"/>
    </w:rPr>
  </w:style>
  <w:style w:type="character" w:customStyle="1" w:styleId="WW8Num11z0">
    <w:name w:val="WW8Num11z0"/>
    <w:rPr>
      <w:rFonts w:ascii="Symbol" w:hAnsi="Symbol"/>
      <w:color w:val="000080"/>
    </w:rPr>
  </w:style>
  <w:style w:type="character" w:customStyle="1" w:styleId="WW8Num11z1">
    <w:name w:val="WW8Num11z1"/>
    <w:rPr>
      <w:rFonts w:ascii="Courier New" w:hAnsi="Courier New"/>
      <w:color w:val="000080"/>
    </w:rPr>
  </w:style>
  <w:style w:type="character" w:customStyle="1" w:styleId="WW8Num11z2">
    <w:name w:val="WW8Num11z2"/>
    <w:rPr>
      <w:rFonts w:ascii="Arial" w:eastAsia="MS Mincho" w:hAnsi="Arial"/>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1z5">
    <w:name w:val="WW8Num11z5"/>
    <w:rPr>
      <w:rFonts w:ascii="Wingdings" w:hAnsi="Wingdings"/>
    </w:rPr>
  </w:style>
  <w:style w:type="character" w:customStyle="1" w:styleId="WW8Num12z0">
    <w:name w:val="WW8Num12z0"/>
    <w:rPr>
      <w:rFonts w:ascii="Symbol" w:hAnsi="Symbol"/>
      <w:color w:val="auto"/>
      <w:w w:val="100"/>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CarCar2">
    <w:name w:val="Car Car2"/>
    <w:rPr>
      <w:rFonts w:cs="Times New Roman"/>
    </w:rPr>
  </w:style>
  <w:style w:type="character" w:customStyle="1" w:styleId="CarCar1">
    <w:name w:val="Car Car1"/>
    <w:rPr>
      <w:rFonts w:cs="Times New Roman"/>
    </w:rPr>
  </w:style>
  <w:style w:type="character" w:customStyle="1" w:styleId="CarCar">
    <w:name w:val="Car Car"/>
    <w:rPr>
      <w:rFonts w:ascii="Lucida Grande" w:hAnsi="Lucida Grande"/>
      <w:sz w:val="18"/>
    </w:rPr>
  </w:style>
  <w:style w:type="character" w:styleId="Hipervnculo">
    <w:name w:val="Hyperlink"/>
    <w:rPr>
      <w:rFonts w:cs="Times New Roman"/>
      <w:color w:val="0000FF"/>
      <w:u w:val="single"/>
    </w:rPr>
  </w:style>
  <w:style w:type="character" w:customStyle="1" w:styleId="Caractresdenotedebasdepage">
    <w:name w:val="Caractères de note de bas de page"/>
    <w:rPr>
      <w:vertAlign w:val="superscript"/>
    </w:rPr>
  </w:style>
  <w:style w:type="character" w:customStyle="1" w:styleId="st1">
    <w:name w:val="st1"/>
    <w:rPr>
      <w:rFonts w:cs="Times New Roman"/>
    </w:rPr>
  </w:style>
  <w:style w:type="character" w:styleId="Nmerodepgina">
    <w:name w:val="page number"/>
    <w:semiHidden/>
    <w:rPr>
      <w:rFonts w:cs="Times New Roman"/>
    </w:rPr>
  </w:style>
  <w:style w:type="paragraph" w:customStyle="1" w:styleId="Titre1">
    <w:name w:val="Titre1"/>
    <w:basedOn w:val="Normal"/>
    <w:next w:val="Textoindependiente"/>
    <w:pPr>
      <w:keepNext/>
      <w:spacing w:before="240" w:after="120"/>
    </w:pPr>
    <w:rPr>
      <w:rFonts w:ascii="Arial" w:eastAsia="PMingLiU" w:hAnsi="Arial" w:cs="Tahoma"/>
      <w:sz w:val="28"/>
      <w:szCs w:val="28"/>
    </w:rPr>
  </w:style>
  <w:style w:type="paragraph" w:styleId="Textoindependiente">
    <w:name w:val="Body Text"/>
    <w:basedOn w:val="Normal"/>
    <w:semiHidden/>
    <w:pPr>
      <w:spacing w:after="120"/>
    </w:pPr>
  </w:style>
  <w:style w:type="character" w:customStyle="1" w:styleId="BodyTextChar">
    <w:name w:val="Body Text Char"/>
    <w:semiHidden/>
    <w:locked/>
    <w:rPr>
      <w:rFonts w:ascii="Cambria" w:eastAsia="MS Mincho" w:hAnsi="Cambria" w:cs="Cambria"/>
      <w:sz w:val="24"/>
      <w:szCs w:val="24"/>
      <w:lang w:val="en-GB" w:eastAsia="ar-SA" w:bidi="ar-SA"/>
    </w:rPr>
  </w:style>
  <w:style w:type="paragraph" w:styleId="Lista">
    <w:name w:val="List"/>
    <w:basedOn w:val="Textoindependien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cabezado">
    <w:name w:val="header"/>
    <w:basedOn w:val="Normal"/>
    <w:semiHidden/>
  </w:style>
  <w:style w:type="character" w:customStyle="1" w:styleId="HeaderChar">
    <w:name w:val="Header Char"/>
    <w:semiHidden/>
    <w:locked/>
    <w:rPr>
      <w:rFonts w:ascii="Cambria" w:eastAsia="MS Mincho" w:hAnsi="Cambria" w:cs="Cambria"/>
      <w:sz w:val="24"/>
      <w:szCs w:val="24"/>
      <w:lang w:val="en-GB" w:eastAsia="ar-SA" w:bidi="ar-SA"/>
    </w:rPr>
  </w:style>
  <w:style w:type="paragraph" w:styleId="Piedepgina">
    <w:name w:val="footer"/>
    <w:basedOn w:val="Normal"/>
    <w:link w:val="PiedepginaCar"/>
    <w:uiPriority w:val="99"/>
    <w:rPr>
      <w:rFonts w:cs="Times New Roman"/>
      <w:lang w:val="fr-FR"/>
    </w:rPr>
  </w:style>
  <w:style w:type="character" w:customStyle="1" w:styleId="FooterChar">
    <w:name w:val="Footer Char"/>
    <w:locked/>
    <w:rPr>
      <w:rFonts w:ascii="Cambria" w:eastAsia="MS Mincho" w:hAnsi="Cambria" w:cs="Times New Roman"/>
      <w:sz w:val="24"/>
      <w:lang w:eastAsia="ar-SA" w:bidi="ar-SA"/>
    </w:rPr>
  </w:style>
  <w:style w:type="paragraph" w:customStyle="1" w:styleId="BalloonText1">
    <w:name w:val="Balloon Text1"/>
    <w:basedOn w:val="Normal"/>
    <w:semiHidden/>
    <w:rPr>
      <w:rFonts w:ascii="Lucida Grande" w:hAnsi="Lucida Grande" w:cs="Lucida Grande"/>
      <w:sz w:val="18"/>
      <w:szCs w:val="18"/>
    </w:rPr>
  </w:style>
  <w:style w:type="character" w:customStyle="1" w:styleId="BalloonTextChar">
    <w:name w:val="Balloon Text Char"/>
    <w:semiHidden/>
    <w:locked/>
    <w:rPr>
      <w:rFonts w:eastAsia="MS Mincho" w:cs="Times New Roman"/>
      <w:sz w:val="2"/>
      <w:lang w:val="en-GB" w:eastAsia="ar-SA" w:bidi="ar-SA"/>
    </w:rPr>
  </w:style>
  <w:style w:type="paragraph" w:customStyle="1" w:styleId="textecontact">
    <w:name w:val="textecontact"/>
    <w:basedOn w:val="Normal"/>
    <w:pPr>
      <w:spacing w:before="280" w:after="280"/>
    </w:pPr>
    <w:rPr>
      <w:rFonts w:ascii="Times New Roman" w:eastAsia="PMingLiU" w:hAnsi="Times New Roman"/>
    </w:rPr>
  </w:style>
  <w:style w:type="paragraph" w:customStyle="1" w:styleId="Textecontact0">
    <w:name w:val="Texte contact"/>
    <w:basedOn w:val="Normal"/>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Textonotapie">
    <w:name w:val="footnote text"/>
    <w:basedOn w:val="Normal"/>
    <w:semiHidden/>
    <w:rPr>
      <w:sz w:val="20"/>
      <w:szCs w:val="20"/>
    </w:rPr>
  </w:style>
  <w:style w:type="character" w:customStyle="1" w:styleId="FootnoteTextChar">
    <w:name w:val="Footnote Text Char"/>
    <w:semiHidden/>
    <w:locked/>
    <w:rPr>
      <w:rFonts w:ascii="Cambria" w:eastAsia="MS Mincho" w:hAnsi="Cambria" w:cs="Cambria"/>
      <w:lang w:val="en-GB" w:eastAsia="ar-SA" w:bidi="ar-SA"/>
    </w:rPr>
  </w:style>
  <w:style w:type="paragraph" w:customStyle="1" w:styleId="Textedesaisie">
    <w:name w:val="Texte de saisie"/>
    <w:basedOn w:val="Normal"/>
    <w:pPr>
      <w:spacing w:line="260" w:lineRule="atLeast"/>
      <w:jc w:val="both"/>
    </w:pPr>
    <w:rPr>
      <w:rFonts w:ascii="Arial" w:eastAsia="PMingLiU"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Textoindependiente"/>
  </w:style>
  <w:style w:type="character" w:customStyle="1" w:styleId="tw4winMark">
    <w:name w:val="tw4winMark"/>
    <w:rPr>
      <w:rFonts w:ascii="Courier New" w:eastAsia="MS Mincho" w:hAnsi="Courier New"/>
      <w:b w:val="0"/>
      <w:bCs/>
      <w:i w:val="0"/>
      <w:dstrike w:val="0"/>
      <w:vanish/>
      <w:color w:val="800080"/>
      <w:sz w:val="22"/>
      <w:szCs w:val="20"/>
      <w:effect w:val="none"/>
      <w:vertAlign w:val="subscript"/>
      <w:lang w:val="en-GB" w:eastAsia="ar-SA"/>
    </w:rPr>
  </w:style>
  <w:style w:type="character" w:styleId="Textoennegrita">
    <w:name w:val="Strong"/>
    <w:qFormat/>
    <w:rPr>
      <w:rFonts w:cs="Times New Roman"/>
      <w:b/>
    </w:rPr>
  </w:style>
  <w:style w:type="character" w:styleId="Refdenotaalpie">
    <w:name w:val="footnote reference"/>
    <w:semiHidden/>
    <w:rPr>
      <w:rFonts w:cs="Times New Roman"/>
      <w:vertAlign w:val="superscript"/>
    </w:rPr>
  </w:style>
  <w:style w:type="character" w:styleId="nfasis">
    <w:name w:val="Emphasis"/>
    <w:qFormat/>
    <w:rPr>
      <w:rFonts w:cs="Times New Roman"/>
      <w:i/>
    </w:rPr>
  </w:style>
  <w:style w:type="paragraph" w:customStyle="1" w:styleId="ListParagraph">
    <w:name w:val="List Paragraph"/>
    <w:basedOn w:val="Normal"/>
    <w:qFormat/>
    <w:pPr>
      <w:widowControl/>
      <w:ind w:left="720"/>
    </w:pPr>
    <w:rPr>
      <w:rFonts w:ascii="Calibri" w:eastAsia="PMingLiU" w:hAnsi="Calibri" w:cs="Calibri"/>
      <w:sz w:val="22"/>
      <w:szCs w:val="22"/>
      <w:lang w:eastAsia="en-US"/>
    </w:rPr>
  </w:style>
  <w:style w:type="paragraph" w:customStyle="1" w:styleId="Default">
    <w:name w:val="Default"/>
    <w:pPr>
      <w:widowControl w:val="0"/>
      <w:autoSpaceDE w:val="0"/>
      <w:autoSpaceDN w:val="0"/>
      <w:adjustRightInd w:val="0"/>
    </w:pPr>
    <w:rPr>
      <w:rFonts w:ascii="Arial" w:hAnsi="Arial" w:cs="Arial"/>
      <w:color w:val="000000"/>
      <w:sz w:val="24"/>
      <w:szCs w:val="24"/>
      <w:lang w:val="fr-FR"/>
    </w:rPr>
  </w:style>
  <w:style w:type="character" w:customStyle="1" w:styleId="apple-converted-space">
    <w:name w:val="apple-converted-space"/>
    <w:basedOn w:val="Fuentedeprrafopredeter"/>
  </w:style>
  <w:style w:type="paragraph" w:customStyle="1" w:styleId="Body1">
    <w:name w:val="Body 1"/>
    <w:pPr>
      <w:outlineLvl w:val="0"/>
    </w:pPr>
    <w:rPr>
      <w:rFonts w:ascii="Helvetica" w:eastAsia="Arial Unicode MS" w:hAnsi="Helvetica" w:cs="Helvetica"/>
      <w:color w:val="000000"/>
      <w:sz w:val="24"/>
      <w:szCs w:val="24"/>
      <w:u w:color="000000"/>
      <w:lang w:val="fr-FR" w:eastAsia="fr-FR"/>
    </w:rPr>
  </w:style>
  <w:style w:type="character" w:styleId="Refdecomentario">
    <w:name w:val="annotation reference"/>
    <w:semiHidden/>
    <w:rPr>
      <w:rFonts w:cs="Times New Roman"/>
      <w:sz w:val="16"/>
      <w:szCs w:val="16"/>
    </w:rPr>
  </w:style>
  <w:style w:type="paragraph" w:styleId="Textocomentario">
    <w:name w:val="annotation text"/>
    <w:basedOn w:val="Normal"/>
    <w:semiHidden/>
    <w:unhideWhenUsed/>
    <w:rPr>
      <w:sz w:val="20"/>
      <w:szCs w:val="20"/>
    </w:rPr>
  </w:style>
  <w:style w:type="character" w:customStyle="1" w:styleId="CommentTextChar">
    <w:name w:val="Comment Text Char"/>
    <w:locked/>
    <w:rPr>
      <w:rFonts w:ascii="Cambria" w:eastAsia="MS Mincho" w:hAnsi="Cambria" w:cs="Cambria"/>
      <w:lang w:val="en-GB" w:eastAsia="ar-SA" w:bidi="ar-SA"/>
    </w:rPr>
  </w:style>
  <w:style w:type="paragraph" w:customStyle="1" w:styleId="CommentSubject1">
    <w:name w:val="Comment Subject1"/>
    <w:basedOn w:val="Textocomentario"/>
    <w:next w:val="Textocomentario"/>
    <w:semiHidden/>
    <w:rPr>
      <w:b/>
      <w:bCs/>
    </w:rPr>
  </w:style>
  <w:style w:type="character" w:customStyle="1" w:styleId="CommentSubjectChar">
    <w:name w:val="Comment Subject Char"/>
    <w:locked/>
    <w:rPr>
      <w:rFonts w:ascii="Cambria" w:eastAsia="MS Mincho" w:hAnsi="Cambria" w:cs="Cambria"/>
      <w:b/>
      <w:bCs/>
      <w:lang w:val="en-GB" w:eastAsia="ar-SA" w:bidi="ar-SA"/>
    </w:rPr>
  </w:style>
  <w:style w:type="character" w:customStyle="1" w:styleId="TextodenotaderodapChar">
    <w:name w:val="Texto de nota de rodapé Char"/>
    <w:semiHidden/>
    <w:rPr>
      <w:rFonts w:cs="Times New Roman"/>
      <w:sz w:val="20"/>
      <w:szCs w:val="20"/>
    </w:rPr>
  </w:style>
  <w:style w:type="paragraph" w:customStyle="1" w:styleId="yiv9357918943msonormal">
    <w:name w:val="yiv9357918943msonormal"/>
    <w:basedOn w:val="Normal"/>
    <w:pPr>
      <w:widowControl/>
      <w:spacing w:before="100" w:beforeAutospacing="1" w:after="100" w:afterAutospacing="1"/>
    </w:pPr>
    <w:rPr>
      <w:rFonts w:ascii="Times New Roman" w:eastAsia="PMingLiU" w:hAnsi="Times New Roman" w:cs="Times New Roman"/>
      <w:lang w:val="en-US" w:eastAsia="en-US"/>
    </w:rPr>
  </w:style>
  <w:style w:type="character" w:customStyle="1" w:styleId="PieddepageCar">
    <w:name w:val="Pied de page Car"/>
    <w:uiPriority w:val="99"/>
    <w:rPr>
      <w:rFonts w:cs="Times New Roman"/>
    </w:rPr>
  </w:style>
  <w:style w:type="paragraph" w:styleId="HTMLconformatoprevio">
    <w:name w:val="HTML Preformatted"/>
    <w:basedOn w:val="Normal"/>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val="en-US" w:eastAsia="en-US"/>
    </w:rPr>
  </w:style>
  <w:style w:type="character" w:customStyle="1" w:styleId="HTMLPreformattedChar">
    <w:name w:val="HTML Preformatted Char"/>
    <w:locked/>
    <w:rPr>
      <w:rFonts w:ascii="Courier New" w:hAnsi="Courier New" w:cs="Courier New"/>
      <w:sz w:val="20"/>
      <w:szCs w:val="20"/>
      <w:lang w:val="en-US" w:eastAsia="en-US"/>
    </w:rPr>
  </w:style>
  <w:style w:type="character" w:customStyle="1" w:styleId="st">
    <w:name w:val="st"/>
    <w:rPr>
      <w:rFonts w:cs="Times New Roman"/>
    </w:rPr>
  </w:style>
  <w:style w:type="character" w:customStyle="1" w:styleId="hps">
    <w:name w:val="hps"/>
    <w:rPr>
      <w:rFonts w:cs="Times New Roman"/>
    </w:rPr>
  </w:style>
  <w:style w:type="paragraph" w:styleId="Textodeglobo">
    <w:name w:val="Balloon Text"/>
    <w:basedOn w:val="Normal"/>
    <w:link w:val="TextodegloboCar"/>
    <w:uiPriority w:val="99"/>
    <w:semiHidden/>
    <w:unhideWhenUsed/>
    <w:rsid w:val="004C054E"/>
    <w:rPr>
      <w:rFonts w:ascii="Tahoma" w:hAnsi="Tahoma" w:cs="Tahoma"/>
      <w:sz w:val="16"/>
      <w:szCs w:val="16"/>
    </w:rPr>
  </w:style>
  <w:style w:type="character" w:customStyle="1" w:styleId="TextodegloboCar">
    <w:name w:val="Texto de globo Car"/>
    <w:link w:val="Textodeglobo"/>
    <w:uiPriority w:val="99"/>
    <w:semiHidden/>
    <w:rsid w:val="004C054E"/>
    <w:rPr>
      <w:rFonts w:ascii="Tahoma" w:eastAsia="MS Mincho" w:hAnsi="Tahoma" w:cs="Tahoma"/>
      <w:sz w:val="16"/>
      <w:szCs w:val="16"/>
      <w:lang w:val="en-GB" w:eastAsia="ar-SA"/>
    </w:rPr>
  </w:style>
  <w:style w:type="character" w:customStyle="1" w:styleId="PiedepginaCar">
    <w:name w:val="Pie de página Car"/>
    <w:link w:val="Piedepgina"/>
    <w:uiPriority w:val="99"/>
    <w:rsid w:val="00EF4DF9"/>
    <w:rPr>
      <w:rFonts w:ascii="Cambria" w:eastAsia="MS Mincho" w:hAnsi="Cambria"/>
      <w:sz w:val="24"/>
      <w:szCs w:val="24"/>
      <w:lang w:val="fr-FR"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ustine.lansac@cofa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krellenstein@cofac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ofa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4762</Characters>
  <Application>Microsoft Office Word</Application>
  <DocSecurity>4</DocSecurity>
  <Lines>39</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Paris, 21 janvier 2013</vt:lpstr>
      <vt:lpstr>Paris, 21 janvier 2013</vt:lpstr>
      <vt:lpstr>Paris, 21 janvier 2013</vt:lpstr>
    </vt:vector>
  </TitlesOfParts>
  <Company>COFACE</Company>
  <LinksUpToDate>false</LinksUpToDate>
  <CharactersWithSpaces>5616</CharactersWithSpaces>
  <SharedDoc>false</SharedDoc>
  <HLinks>
    <vt:vector size="18" baseType="variant">
      <vt:variant>
        <vt:i4>2293813</vt:i4>
      </vt:variant>
      <vt:variant>
        <vt:i4>6</vt:i4>
      </vt:variant>
      <vt:variant>
        <vt:i4>0</vt:i4>
      </vt:variant>
      <vt:variant>
        <vt:i4>5</vt:i4>
      </vt:variant>
      <vt:variant>
        <vt:lpwstr>http://www.coface.com/</vt:lpwstr>
      </vt:variant>
      <vt:variant>
        <vt:lpwstr/>
      </vt:variant>
      <vt:variant>
        <vt:i4>3211357</vt:i4>
      </vt:variant>
      <vt:variant>
        <vt:i4>3</vt:i4>
      </vt:variant>
      <vt:variant>
        <vt:i4>0</vt:i4>
      </vt:variant>
      <vt:variant>
        <vt:i4>5</vt:i4>
      </vt:variant>
      <vt:variant>
        <vt:lpwstr>mailto:justine.lansac@coface.com</vt:lpwstr>
      </vt:variant>
      <vt:variant>
        <vt:lpwstr/>
      </vt:variant>
      <vt:variant>
        <vt:i4>2621512</vt:i4>
      </vt:variant>
      <vt:variant>
        <vt:i4>0</vt:i4>
      </vt:variant>
      <vt:variant>
        <vt:i4>0</vt:i4>
      </vt:variant>
      <vt:variant>
        <vt:i4>5</vt:i4>
      </vt:variant>
      <vt:variant>
        <vt:lpwstr>mailto:maria.krellenstein@coface.com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subject/>
  <dc:creator>KRELLENSTEIN Maria</dc:creator>
  <cp:keywords/>
  <cp:lastModifiedBy>denisse_villavicenci</cp:lastModifiedBy>
  <cp:revision>2</cp:revision>
  <cp:lastPrinted>2014-11-20T12:06:00Z</cp:lastPrinted>
  <dcterms:created xsi:type="dcterms:W3CDTF">2014-11-25T18:29:00Z</dcterms:created>
  <dcterms:modified xsi:type="dcterms:W3CDTF">2014-11-25T18:29:00Z</dcterms:modified>
</cp:coreProperties>
</file>